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D84" w:rsidRDefault="00471D84" w:rsidP="00FA64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1DAC" w:rsidRPr="008F341B" w:rsidRDefault="005C1DAC" w:rsidP="00FA64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341B">
        <w:rPr>
          <w:rFonts w:ascii="Times New Roman" w:hAnsi="Times New Roman" w:cs="Times New Roman"/>
          <w:b/>
          <w:sz w:val="24"/>
          <w:szCs w:val="24"/>
        </w:rPr>
        <w:t>ДОКЛАД</w:t>
      </w:r>
    </w:p>
    <w:p w:rsidR="00FA646D" w:rsidRDefault="005C1DAC" w:rsidP="00FA64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341B">
        <w:rPr>
          <w:rFonts w:ascii="Times New Roman" w:hAnsi="Times New Roman" w:cs="Times New Roman"/>
          <w:b/>
          <w:sz w:val="24"/>
          <w:szCs w:val="24"/>
        </w:rPr>
        <w:t xml:space="preserve"> об антимонопольном комплаенсе</w:t>
      </w:r>
      <w:r w:rsidR="00606246">
        <w:rPr>
          <w:rFonts w:ascii="Times New Roman" w:hAnsi="Times New Roman" w:cs="Times New Roman"/>
          <w:b/>
          <w:sz w:val="24"/>
          <w:szCs w:val="24"/>
        </w:rPr>
        <w:t xml:space="preserve"> в </w:t>
      </w:r>
      <w:r w:rsidR="00FA646D">
        <w:rPr>
          <w:rFonts w:ascii="Times New Roman" w:hAnsi="Times New Roman" w:cs="Times New Roman"/>
          <w:b/>
          <w:sz w:val="24"/>
          <w:szCs w:val="24"/>
        </w:rPr>
        <w:t>А</w:t>
      </w:r>
      <w:r w:rsidR="00606246">
        <w:rPr>
          <w:rFonts w:ascii="Times New Roman" w:hAnsi="Times New Roman" w:cs="Times New Roman"/>
          <w:b/>
          <w:sz w:val="24"/>
          <w:szCs w:val="24"/>
        </w:rPr>
        <w:t xml:space="preserve">дминистрации Сусуманского </w:t>
      </w:r>
    </w:p>
    <w:p w:rsidR="00E37FF0" w:rsidRDefault="00FA646D" w:rsidP="00FA64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муниципального</w:t>
      </w:r>
      <w:r w:rsidR="00606246">
        <w:rPr>
          <w:rFonts w:ascii="Times New Roman" w:hAnsi="Times New Roman" w:cs="Times New Roman"/>
          <w:b/>
          <w:sz w:val="24"/>
          <w:szCs w:val="24"/>
        </w:rPr>
        <w:t xml:space="preserve"> округа </w:t>
      </w:r>
      <w:r>
        <w:rPr>
          <w:rFonts w:ascii="Times New Roman" w:hAnsi="Times New Roman" w:cs="Times New Roman"/>
          <w:b/>
          <w:sz w:val="24"/>
          <w:szCs w:val="24"/>
        </w:rPr>
        <w:t xml:space="preserve"> Магаданской области </w:t>
      </w:r>
      <w:r w:rsidR="00606246">
        <w:rPr>
          <w:rFonts w:ascii="Times New Roman" w:hAnsi="Times New Roman" w:cs="Times New Roman"/>
          <w:b/>
          <w:sz w:val="24"/>
          <w:szCs w:val="24"/>
        </w:rPr>
        <w:t>за 20</w:t>
      </w:r>
      <w:r w:rsidR="00E66B7C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="00606246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DD78C2" w:rsidRDefault="00DD78C2" w:rsidP="00F80309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5FEA" w:rsidRPr="008F341B" w:rsidRDefault="00495FEA" w:rsidP="00FA646D">
      <w:pPr>
        <w:shd w:val="clear" w:color="auto" w:fill="FFFFFF"/>
        <w:spacing w:after="120" w:line="240" w:lineRule="auto"/>
        <w:ind w:left="1260" w:hanging="36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bdr w:val="none" w:sz="0" w:space="0" w:color="auto" w:frame="1"/>
          <w:lang w:eastAsia="ru-RU"/>
        </w:rPr>
      </w:pPr>
      <w:r w:rsidRPr="008F341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>1.      Общие положения.</w:t>
      </w:r>
    </w:p>
    <w:p w:rsidR="005C1DAC" w:rsidRDefault="005C1DAC" w:rsidP="00F80309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341B">
        <w:rPr>
          <w:rFonts w:ascii="Times New Roman" w:hAnsi="Times New Roman" w:cs="Times New Roman"/>
          <w:sz w:val="24"/>
          <w:szCs w:val="24"/>
        </w:rPr>
        <w:t xml:space="preserve">В целях реализации Указа Президента Российской Федерации от 27.12.2017 г. № 618 «Об основных направлениях государственной политики по развитию конкуренции», руководствуясь </w:t>
      </w:r>
      <w:r w:rsidR="00282B16">
        <w:rPr>
          <w:rFonts w:ascii="Times New Roman" w:hAnsi="Times New Roman" w:cs="Times New Roman"/>
          <w:sz w:val="24"/>
          <w:szCs w:val="24"/>
        </w:rPr>
        <w:t>Р</w:t>
      </w:r>
      <w:r w:rsidRPr="008F341B">
        <w:rPr>
          <w:rFonts w:ascii="Times New Roman" w:hAnsi="Times New Roman" w:cs="Times New Roman"/>
          <w:sz w:val="24"/>
          <w:szCs w:val="24"/>
        </w:rPr>
        <w:t xml:space="preserve">аспоряжением </w:t>
      </w:r>
      <w:r w:rsidR="00282B16">
        <w:rPr>
          <w:rFonts w:ascii="Times New Roman" w:hAnsi="Times New Roman" w:cs="Times New Roman"/>
          <w:sz w:val="24"/>
          <w:szCs w:val="24"/>
        </w:rPr>
        <w:t>П</w:t>
      </w:r>
      <w:r w:rsidRPr="008F341B">
        <w:rPr>
          <w:rFonts w:ascii="Times New Roman" w:hAnsi="Times New Roman" w:cs="Times New Roman"/>
          <w:sz w:val="24"/>
          <w:szCs w:val="24"/>
        </w:rPr>
        <w:t>равительства Российской Федерации от 18.10.2018 г. №2258-р, в соответствии  с распоряжением губернатора Магаданской области от 31.01.2019 г. № 17-р администрацией Сусуманского городского округа</w:t>
      </w:r>
      <w:r w:rsidR="00CD5F12">
        <w:rPr>
          <w:rFonts w:ascii="Times New Roman" w:hAnsi="Times New Roman" w:cs="Times New Roman"/>
          <w:sz w:val="24"/>
          <w:szCs w:val="24"/>
        </w:rPr>
        <w:t xml:space="preserve"> (далее по тесту – Администрация)</w:t>
      </w:r>
      <w:r w:rsidRPr="008F341B">
        <w:rPr>
          <w:rFonts w:ascii="Times New Roman" w:hAnsi="Times New Roman" w:cs="Times New Roman"/>
          <w:sz w:val="24"/>
          <w:szCs w:val="24"/>
        </w:rPr>
        <w:t xml:space="preserve"> </w:t>
      </w:r>
      <w:r w:rsidR="003D5CAF">
        <w:rPr>
          <w:rFonts w:ascii="Times New Roman" w:hAnsi="Times New Roman" w:cs="Times New Roman"/>
          <w:sz w:val="24"/>
          <w:szCs w:val="24"/>
        </w:rPr>
        <w:t>принято</w:t>
      </w:r>
      <w:r w:rsidRPr="008F341B">
        <w:rPr>
          <w:rFonts w:ascii="Times New Roman" w:hAnsi="Times New Roman" w:cs="Times New Roman"/>
          <w:sz w:val="24"/>
          <w:szCs w:val="24"/>
        </w:rPr>
        <w:t xml:space="preserve"> постановление от 12.04.2019 г. № 176 «Об организации системы внутреннего обеспечения соответствия требованиям антимонопольного законодательства (антимонопольного комплаенса)» (с изменениями и дополнениями в соответствии с постановлением администрации  Сусуманского городского округа от 20.09.2019 г. № 455</w:t>
      </w:r>
      <w:r w:rsidR="00E66B7C">
        <w:rPr>
          <w:rFonts w:ascii="Times New Roman" w:hAnsi="Times New Roman" w:cs="Times New Roman"/>
          <w:sz w:val="24"/>
          <w:szCs w:val="24"/>
        </w:rPr>
        <w:t>, от 14.12.2020</w:t>
      </w:r>
      <w:r w:rsidR="00104778">
        <w:rPr>
          <w:rFonts w:ascii="Times New Roman" w:hAnsi="Times New Roman" w:cs="Times New Roman"/>
          <w:sz w:val="24"/>
          <w:szCs w:val="24"/>
        </w:rPr>
        <w:t xml:space="preserve"> </w:t>
      </w:r>
      <w:r w:rsidR="00E66B7C">
        <w:rPr>
          <w:rFonts w:ascii="Times New Roman" w:hAnsi="Times New Roman" w:cs="Times New Roman"/>
          <w:sz w:val="24"/>
          <w:szCs w:val="24"/>
        </w:rPr>
        <w:t>г. №599</w:t>
      </w:r>
      <w:r w:rsidRPr="008F341B">
        <w:rPr>
          <w:rFonts w:ascii="Times New Roman" w:hAnsi="Times New Roman" w:cs="Times New Roman"/>
          <w:sz w:val="24"/>
          <w:szCs w:val="24"/>
        </w:rPr>
        <w:t>)</w:t>
      </w:r>
      <w:r w:rsidR="003D5CAF">
        <w:rPr>
          <w:rFonts w:ascii="Times New Roman" w:hAnsi="Times New Roman" w:cs="Times New Roman"/>
          <w:sz w:val="24"/>
          <w:szCs w:val="24"/>
        </w:rPr>
        <w:t xml:space="preserve">, </w:t>
      </w:r>
      <w:r w:rsidR="003D5CAF" w:rsidRPr="001F4610">
        <w:rPr>
          <w:rFonts w:ascii="Times New Roman" w:hAnsi="Times New Roman" w:cs="Times New Roman"/>
          <w:sz w:val="24"/>
          <w:szCs w:val="24"/>
        </w:rPr>
        <w:t xml:space="preserve">которым утверждено Положение </w:t>
      </w:r>
      <w:r w:rsidR="001F4610" w:rsidRPr="001F4610">
        <w:rPr>
          <w:rFonts w:ascii="Times New Roman" w:hAnsi="Times New Roman" w:cs="Times New Roman"/>
          <w:sz w:val="24"/>
          <w:szCs w:val="24"/>
        </w:rPr>
        <w:t>о создании и организации в администрации Сусуманского</w:t>
      </w:r>
      <w:r w:rsidR="001F4610">
        <w:rPr>
          <w:rFonts w:ascii="Times New Roman" w:hAnsi="Times New Roman" w:cs="Times New Roman"/>
          <w:sz w:val="24"/>
          <w:szCs w:val="24"/>
        </w:rPr>
        <w:t xml:space="preserve"> городского округа системы внутреннего обеспечения соответствия требованиям антимонопольного законодательства</w:t>
      </w:r>
      <w:r w:rsidR="003D5CAF">
        <w:rPr>
          <w:rFonts w:ascii="Times New Roman" w:hAnsi="Times New Roman" w:cs="Times New Roman"/>
          <w:sz w:val="24"/>
          <w:szCs w:val="24"/>
        </w:rPr>
        <w:t xml:space="preserve"> (далее по тексту– Положение)</w:t>
      </w:r>
      <w:r w:rsidRPr="008F341B">
        <w:rPr>
          <w:rFonts w:ascii="Times New Roman" w:hAnsi="Times New Roman" w:cs="Times New Roman"/>
          <w:sz w:val="24"/>
          <w:szCs w:val="24"/>
        </w:rPr>
        <w:t>.</w:t>
      </w:r>
    </w:p>
    <w:p w:rsidR="005C1DAC" w:rsidRPr="008F341B" w:rsidRDefault="005C1DAC" w:rsidP="00F80309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341B">
        <w:rPr>
          <w:rFonts w:ascii="Times New Roman" w:hAnsi="Times New Roman" w:cs="Times New Roman"/>
          <w:sz w:val="24"/>
          <w:szCs w:val="24"/>
        </w:rPr>
        <w:t>В соответствии с Положением</w:t>
      </w:r>
      <w:r w:rsidR="00383348">
        <w:rPr>
          <w:rFonts w:ascii="Times New Roman" w:hAnsi="Times New Roman" w:cs="Times New Roman"/>
          <w:sz w:val="24"/>
          <w:szCs w:val="24"/>
        </w:rPr>
        <w:t xml:space="preserve"> (</w:t>
      </w:r>
      <w:r w:rsidR="00383348" w:rsidRPr="00D46025">
        <w:rPr>
          <w:rFonts w:ascii="Times New Roman" w:hAnsi="Times New Roman" w:cs="Times New Roman"/>
          <w:i/>
          <w:sz w:val="24"/>
          <w:szCs w:val="24"/>
        </w:rPr>
        <w:t>Приложение №1</w:t>
      </w:r>
      <w:r w:rsidR="00383348" w:rsidRPr="00D46025">
        <w:rPr>
          <w:rFonts w:ascii="Times New Roman" w:hAnsi="Times New Roman" w:cs="Times New Roman"/>
          <w:sz w:val="24"/>
          <w:szCs w:val="24"/>
        </w:rPr>
        <w:t>)</w:t>
      </w:r>
      <w:r w:rsidRPr="008F341B">
        <w:rPr>
          <w:rFonts w:ascii="Times New Roman" w:hAnsi="Times New Roman" w:cs="Times New Roman"/>
          <w:sz w:val="24"/>
          <w:szCs w:val="24"/>
        </w:rPr>
        <w:t>, функции уполномоченного подразделения, связанные с организацией и функционированием антимонопольного комплаенса,   распределены  между юридическим отделом управления правового обеспечения исполнения полномочий администрации Сусуманского городского округа, комитетом по экономике администрации Сусуманского городского округа, управлением по организационной работе и внутренней политике администрации Сусуманского городского округа</w:t>
      </w:r>
      <w:r w:rsidR="00495FEA" w:rsidRPr="008F341B">
        <w:rPr>
          <w:rFonts w:ascii="Times New Roman" w:hAnsi="Times New Roman" w:cs="Times New Roman"/>
          <w:sz w:val="24"/>
          <w:szCs w:val="24"/>
        </w:rPr>
        <w:t xml:space="preserve"> и структурными подразделениями администрации Сусуманского городского округа</w:t>
      </w:r>
      <w:r w:rsidRPr="008F341B">
        <w:rPr>
          <w:rFonts w:ascii="Times New Roman" w:hAnsi="Times New Roman" w:cs="Times New Roman"/>
          <w:sz w:val="24"/>
          <w:szCs w:val="24"/>
        </w:rPr>
        <w:t>.</w:t>
      </w:r>
    </w:p>
    <w:p w:rsidR="00495FEA" w:rsidRPr="008F341B" w:rsidRDefault="00495FEA" w:rsidP="00F80309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341B">
        <w:rPr>
          <w:rFonts w:ascii="Times New Roman" w:hAnsi="Times New Roman" w:cs="Times New Roman"/>
          <w:sz w:val="24"/>
          <w:szCs w:val="24"/>
        </w:rPr>
        <w:t xml:space="preserve">В целях обеспечения открытости и доступа к информации на официальном сайте </w:t>
      </w:r>
      <w:r w:rsidR="00741ED9"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«Сусуманский </w:t>
      </w:r>
      <w:r w:rsidRPr="008F341B">
        <w:rPr>
          <w:rFonts w:ascii="Times New Roman" w:hAnsi="Times New Roman" w:cs="Times New Roman"/>
          <w:sz w:val="24"/>
          <w:szCs w:val="24"/>
        </w:rPr>
        <w:t>городско</w:t>
      </w:r>
      <w:r w:rsidR="00741ED9">
        <w:rPr>
          <w:rFonts w:ascii="Times New Roman" w:hAnsi="Times New Roman" w:cs="Times New Roman"/>
          <w:sz w:val="24"/>
          <w:szCs w:val="24"/>
        </w:rPr>
        <w:t>й</w:t>
      </w:r>
      <w:r w:rsidRPr="008F341B">
        <w:rPr>
          <w:rFonts w:ascii="Times New Roman" w:hAnsi="Times New Roman" w:cs="Times New Roman"/>
          <w:sz w:val="24"/>
          <w:szCs w:val="24"/>
        </w:rPr>
        <w:t xml:space="preserve"> округ</w:t>
      </w:r>
      <w:r w:rsidR="00741ED9">
        <w:rPr>
          <w:rFonts w:ascii="Times New Roman" w:hAnsi="Times New Roman" w:cs="Times New Roman"/>
          <w:sz w:val="24"/>
          <w:szCs w:val="24"/>
        </w:rPr>
        <w:t>»</w:t>
      </w:r>
      <w:r w:rsidRPr="008F341B">
        <w:rPr>
          <w:rFonts w:ascii="Times New Roman" w:hAnsi="Times New Roman" w:cs="Times New Roman"/>
          <w:sz w:val="24"/>
          <w:szCs w:val="24"/>
        </w:rPr>
        <w:t xml:space="preserve"> </w:t>
      </w:r>
      <w:r w:rsidR="00741ED9" w:rsidRPr="008F341B">
        <w:rPr>
          <w:rFonts w:ascii="Times New Roman" w:hAnsi="Times New Roman" w:cs="Times New Roman"/>
          <w:sz w:val="24"/>
          <w:szCs w:val="24"/>
        </w:rPr>
        <w:t xml:space="preserve">http://susumanskiy-rayon.ru/ </w:t>
      </w:r>
      <w:r w:rsidRPr="008F341B">
        <w:rPr>
          <w:rFonts w:ascii="Times New Roman" w:hAnsi="Times New Roman" w:cs="Times New Roman"/>
          <w:sz w:val="24"/>
          <w:szCs w:val="24"/>
        </w:rPr>
        <w:t>создан раздел «Антимонопольный комплаенс», в котором размещена вся актуальная информация по антимонопольному законодательству.</w:t>
      </w:r>
    </w:p>
    <w:p w:rsidR="00495FEA" w:rsidRPr="008F341B" w:rsidRDefault="00495FEA" w:rsidP="00F80309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341B">
        <w:rPr>
          <w:rFonts w:ascii="Times New Roman" w:hAnsi="Times New Roman" w:cs="Times New Roman"/>
          <w:sz w:val="24"/>
          <w:szCs w:val="24"/>
        </w:rPr>
        <w:t>Вышеуказанный раздел включает в себя следующие вкладки:</w:t>
      </w:r>
    </w:p>
    <w:p w:rsidR="00495FEA" w:rsidRPr="008F341B" w:rsidRDefault="00495FEA" w:rsidP="00F80309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341B">
        <w:rPr>
          <w:rFonts w:ascii="Times New Roman" w:hAnsi="Times New Roman" w:cs="Times New Roman"/>
          <w:sz w:val="24"/>
          <w:szCs w:val="24"/>
        </w:rPr>
        <w:t>-</w:t>
      </w:r>
      <w:r w:rsidR="00A7207F">
        <w:rPr>
          <w:rFonts w:ascii="Times New Roman" w:hAnsi="Times New Roman" w:cs="Times New Roman"/>
          <w:sz w:val="24"/>
          <w:szCs w:val="24"/>
        </w:rPr>
        <w:t>А</w:t>
      </w:r>
      <w:r w:rsidRPr="008F341B">
        <w:rPr>
          <w:rFonts w:ascii="Times New Roman" w:hAnsi="Times New Roman" w:cs="Times New Roman"/>
          <w:sz w:val="24"/>
          <w:szCs w:val="24"/>
        </w:rPr>
        <w:t>нализ НПА (в данной вкладке опубликованы уведомления о проведении публичных консультаций посредством сбора замечаний и предложений организаций и граждан в рамках анализа проекта муниципального правового акта на предмет его влияния на конкуренцию, обоснование необходимости реализации предлагаемых решений посредством принятия нормативного правового акта, в том числе их влияние на конкуренцию);</w:t>
      </w:r>
    </w:p>
    <w:p w:rsidR="00495FEA" w:rsidRPr="008F341B" w:rsidRDefault="00495FEA" w:rsidP="00F80309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341B">
        <w:rPr>
          <w:rFonts w:ascii="Times New Roman" w:hAnsi="Times New Roman" w:cs="Times New Roman"/>
          <w:sz w:val="24"/>
          <w:szCs w:val="24"/>
        </w:rPr>
        <w:t>-</w:t>
      </w:r>
      <w:r w:rsidR="00A7207F">
        <w:rPr>
          <w:rFonts w:ascii="Times New Roman" w:hAnsi="Times New Roman" w:cs="Times New Roman"/>
          <w:sz w:val="24"/>
          <w:szCs w:val="24"/>
        </w:rPr>
        <w:t>А</w:t>
      </w:r>
      <w:r w:rsidRPr="008F341B">
        <w:rPr>
          <w:rFonts w:ascii="Times New Roman" w:hAnsi="Times New Roman" w:cs="Times New Roman"/>
          <w:sz w:val="24"/>
          <w:szCs w:val="24"/>
        </w:rPr>
        <w:t>нтимонопольный комплаенс (в данной вкладке опубликованы муниципальные правов</w:t>
      </w:r>
      <w:r w:rsidR="00741ED9">
        <w:rPr>
          <w:rFonts w:ascii="Times New Roman" w:hAnsi="Times New Roman" w:cs="Times New Roman"/>
          <w:sz w:val="24"/>
          <w:szCs w:val="24"/>
        </w:rPr>
        <w:t>ые</w:t>
      </w:r>
      <w:r w:rsidRPr="008F341B">
        <w:rPr>
          <w:rFonts w:ascii="Times New Roman" w:hAnsi="Times New Roman" w:cs="Times New Roman"/>
          <w:sz w:val="24"/>
          <w:szCs w:val="24"/>
        </w:rPr>
        <w:t xml:space="preserve"> акты </w:t>
      </w:r>
      <w:r w:rsidR="00FA646D">
        <w:rPr>
          <w:rFonts w:ascii="Times New Roman" w:hAnsi="Times New Roman" w:cs="Times New Roman"/>
          <w:sz w:val="24"/>
          <w:szCs w:val="24"/>
        </w:rPr>
        <w:t>А</w:t>
      </w:r>
      <w:r w:rsidRPr="008F341B">
        <w:rPr>
          <w:rFonts w:ascii="Times New Roman" w:hAnsi="Times New Roman" w:cs="Times New Roman"/>
          <w:sz w:val="24"/>
          <w:szCs w:val="24"/>
        </w:rPr>
        <w:t xml:space="preserve">дминистрации Сусуманского </w:t>
      </w:r>
      <w:r w:rsidR="00FA646D">
        <w:rPr>
          <w:rFonts w:ascii="Times New Roman" w:hAnsi="Times New Roman" w:cs="Times New Roman"/>
          <w:sz w:val="24"/>
          <w:szCs w:val="24"/>
        </w:rPr>
        <w:t>муниципального</w:t>
      </w:r>
      <w:r w:rsidRPr="008F341B">
        <w:rPr>
          <w:rFonts w:ascii="Times New Roman" w:hAnsi="Times New Roman" w:cs="Times New Roman"/>
          <w:sz w:val="24"/>
          <w:szCs w:val="24"/>
        </w:rPr>
        <w:t xml:space="preserve"> округа</w:t>
      </w:r>
      <w:r w:rsidR="00FA646D">
        <w:rPr>
          <w:rFonts w:ascii="Times New Roman" w:hAnsi="Times New Roman" w:cs="Times New Roman"/>
          <w:sz w:val="24"/>
          <w:szCs w:val="24"/>
        </w:rPr>
        <w:t xml:space="preserve"> Магаданской области</w:t>
      </w:r>
      <w:r w:rsidRPr="008F341B">
        <w:rPr>
          <w:rFonts w:ascii="Times New Roman" w:hAnsi="Times New Roman" w:cs="Times New Roman"/>
          <w:sz w:val="24"/>
          <w:szCs w:val="24"/>
        </w:rPr>
        <w:t xml:space="preserve">, обеспечивающие организацию и функционирование антимонопольного комплаенса). </w:t>
      </w:r>
    </w:p>
    <w:p w:rsidR="00495FEA" w:rsidRPr="008F341B" w:rsidRDefault="00495FEA" w:rsidP="00F80309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341B">
        <w:rPr>
          <w:rFonts w:ascii="Times New Roman" w:hAnsi="Times New Roman" w:cs="Times New Roman"/>
          <w:sz w:val="24"/>
          <w:szCs w:val="24"/>
        </w:rPr>
        <w:t xml:space="preserve">С целью осуществления оценки эффективности организации и функционирования </w:t>
      </w:r>
      <w:r w:rsidR="005026C8" w:rsidRPr="008F341B">
        <w:rPr>
          <w:rFonts w:ascii="Times New Roman" w:hAnsi="Times New Roman" w:cs="Times New Roman"/>
          <w:sz w:val="24"/>
          <w:szCs w:val="24"/>
        </w:rPr>
        <w:t xml:space="preserve">антимонопольного комплаенса </w:t>
      </w:r>
      <w:r w:rsidRPr="008F341B">
        <w:rPr>
          <w:rFonts w:ascii="Times New Roman" w:hAnsi="Times New Roman" w:cs="Times New Roman"/>
          <w:sz w:val="24"/>
          <w:szCs w:val="24"/>
        </w:rPr>
        <w:t xml:space="preserve">в </w:t>
      </w:r>
      <w:r w:rsidR="000F7CE0">
        <w:rPr>
          <w:rFonts w:ascii="Times New Roman" w:hAnsi="Times New Roman" w:cs="Times New Roman"/>
          <w:sz w:val="24"/>
          <w:szCs w:val="24"/>
        </w:rPr>
        <w:t>А</w:t>
      </w:r>
      <w:r w:rsidRPr="008F341B">
        <w:rPr>
          <w:rFonts w:ascii="Times New Roman" w:hAnsi="Times New Roman" w:cs="Times New Roman"/>
          <w:sz w:val="24"/>
          <w:szCs w:val="24"/>
        </w:rPr>
        <w:t xml:space="preserve">дминистрации создан </w:t>
      </w:r>
      <w:r w:rsidR="000A7D43" w:rsidRPr="008F341B">
        <w:rPr>
          <w:rFonts w:ascii="Times New Roman" w:hAnsi="Times New Roman" w:cs="Times New Roman"/>
          <w:sz w:val="24"/>
          <w:szCs w:val="24"/>
        </w:rPr>
        <w:t>к</w:t>
      </w:r>
      <w:r w:rsidRPr="008F341B">
        <w:rPr>
          <w:rFonts w:ascii="Times New Roman" w:hAnsi="Times New Roman" w:cs="Times New Roman"/>
          <w:sz w:val="24"/>
          <w:szCs w:val="24"/>
        </w:rPr>
        <w:t xml:space="preserve">оллегиальный орган, осуществляющий оценку </w:t>
      </w:r>
      <w:r w:rsidR="00D56F56" w:rsidRPr="008F341B">
        <w:rPr>
          <w:rFonts w:ascii="Times New Roman" w:hAnsi="Times New Roman" w:cs="Times New Roman"/>
          <w:sz w:val="24"/>
          <w:szCs w:val="24"/>
        </w:rPr>
        <w:t>эффективности организации</w:t>
      </w:r>
      <w:r w:rsidRPr="008F341B">
        <w:rPr>
          <w:rFonts w:ascii="Times New Roman" w:hAnsi="Times New Roman" w:cs="Times New Roman"/>
          <w:sz w:val="24"/>
          <w:szCs w:val="24"/>
        </w:rPr>
        <w:t xml:space="preserve"> и функционирования системы внутреннего обеспечения соответствия требованиям антимонопольного законодательства в муниципальном образовании «Сусуманский </w:t>
      </w:r>
      <w:r w:rsidR="00FA646D">
        <w:rPr>
          <w:rFonts w:ascii="Times New Roman" w:hAnsi="Times New Roman" w:cs="Times New Roman"/>
          <w:sz w:val="24"/>
          <w:szCs w:val="24"/>
        </w:rPr>
        <w:t>муниципальный</w:t>
      </w:r>
      <w:r w:rsidRPr="008F341B">
        <w:rPr>
          <w:rFonts w:ascii="Times New Roman" w:hAnsi="Times New Roman" w:cs="Times New Roman"/>
          <w:sz w:val="24"/>
          <w:szCs w:val="24"/>
        </w:rPr>
        <w:t xml:space="preserve"> округ</w:t>
      </w:r>
      <w:r w:rsidR="00FA646D">
        <w:rPr>
          <w:rFonts w:ascii="Times New Roman" w:hAnsi="Times New Roman" w:cs="Times New Roman"/>
          <w:sz w:val="24"/>
          <w:szCs w:val="24"/>
        </w:rPr>
        <w:t xml:space="preserve"> Магаданской области</w:t>
      </w:r>
      <w:r w:rsidRPr="008F341B">
        <w:rPr>
          <w:rFonts w:ascii="Times New Roman" w:hAnsi="Times New Roman" w:cs="Times New Roman"/>
          <w:sz w:val="24"/>
          <w:szCs w:val="24"/>
        </w:rPr>
        <w:t xml:space="preserve">», состав которого </w:t>
      </w:r>
      <w:r w:rsidR="00D56F56" w:rsidRPr="008F341B">
        <w:rPr>
          <w:rFonts w:ascii="Times New Roman" w:hAnsi="Times New Roman" w:cs="Times New Roman"/>
          <w:sz w:val="24"/>
          <w:szCs w:val="24"/>
        </w:rPr>
        <w:t>утвержден постановлением</w:t>
      </w:r>
      <w:r w:rsidRPr="008F341B">
        <w:rPr>
          <w:rFonts w:ascii="Times New Roman" w:hAnsi="Times New Roman" w:cs="Times New Roman"/>
          <w:sz w:val="24"/>
          <w:szCs w:val="24"/>
        </w:rPr>
        <w:t xml:space="preserve"> администрации Сусуманского городского округа от    </w:t>
      </w:r>
      <w:r w:rsidR="003D5CAF">
        <w:rPr>
          <w:rFonts w:ascii="Times New Roman" w:hAnsi="Times New Roman" w:cs="Times New Roman"/>
          <w:sz w:val="24"/>
          <w:szCs w:val="24"/>
        </w:rPr>
        <w:t>30.12.2019 г.</w:t>
      </w:r>
      <w:r w:rsidR="00357855">
        <w:rPr>
          <w:rFonts w:ascii="Times New Roman" w:hAnsi="Times New Roman" w:cs="Times New Roman"/>
          <w:sz w:val="24"/>
          <w:szCs w:val="24"/>
        </w:rPr>
        <w:t xml:space="preserve"> №</w:t>
      </w:r>
      <w:r w:rsidR="00104778">
        <w:rPr>
          <w:rFonts w:ascii="Times New Roman" w:hAnsi="Times New Roman" w:cs="Times New Roman"/>
          <w:sz w:val="24"/>
          <w:szCs w:val="24"/>
        </w:rPr>
        <w:t xml:space="preserve"> </w:t>
      </w:r>
      <w:r w:rsidR="003D5CAF">
        <w:rPr>
          <w:rFonts w:ascii="Times New Roman" w:hAnsi="Times New Roman" w:cs="Times New Roman"/>
          <w:sz w:val="24"/>
          <w:szCs w:val="24"/>
        </w:rPr>
        <w:t>680</w:t>
      </w:r>
      <w:r w:rsidR="00E66B7C">
        <w:rPr>
          <w:rFonts w:ascii="Times New Roman" w:hAnsi="Times New Roman" w:cs="Times New Roman"/>
          <w:sz w:val="24"/>
          <w:szCs w:val="24"/>
        </w:rPr>
        <w:t xml:space="preserve"> </w:t>
      </w:r>
      <w:r w:rsidR="00E66B7C" w:rsidRPr="00357855">
        <w:rPr>
          <w:rFonts w:ascii="Times New Roman" w:hAnsi="Times New Roman" w:cs="Times New Roman"/>
          <w:sz w:val="24"/>
          <w:szCs w:val="24"/>
        </w:rPr>
        <w:t xml:space="preserve">(с изменениями от  </w:t>
      </w:r>
      <w:r w:rsidR="00357855" w:rsidRPr="00357855">
        <w:rPr>
          <w:rFonts w:ascii="Times New Roman" w:hAnsi="Times New Roman" w:cs="Times New Roman"/>
          <w:sz w:val="24"/>
          <w:szCs w:val="24"/>
        </w:rPr>
        <w:t>24.12.2020</w:t>
      </w:r>
      <w:r w:rsidR="00104778">
        <w:rPr>
          <w:rFonts w:ascii="Times New Roman" w:hAnsi="Times New Roman" w:cs="Times New Roman"/>
          <w:sz w:val="24"/>
          <w:szCs w:val="24"/>
        </w:rPr>
        <w:t xml:space="preserve"> </w:t>
      </w:r>
      <w:r w:rsidR="00357855" w:rsidRPr="00357855">
        <w:rPr>
          <w:rFonts w:ascii="Times New Roman" w:hAnsi="Times New Roman" w:cs="Times New Roman"/>
          <w:sz w:val="24"/>
          <w:szCs w:val="24"/>
        </w:rPr>
        <w:t xml:space="preserve">г. </w:t>
      </w:r>
      <w:r w:rsidR="00E66B7C" w:rsidRPr="00357855">
        <w:rPr>
          <w:rFonts w:ascii="Times New Roman" w:hAnsi="Times New Roman" w:cs="Times New Roman"/>
          <w:sz w:val="24"/>
          <w:szCs w:val="24"/>
        </w:rPr>
        <w:t xml:space="preserve"> №</w:t>
      </w:r>
      <w:r w:rsidR="00357855" w:rsidRPr="00357855">
        <w:rPr>
          <w:rFonts w:ascii="Times New Roman" w:hAnsi="Times New Roman" w:cs="Times New Roman"/>
          <w:sz w:val="24"/>
          <w:szCs w:val="24"/>
        </w:rPr>
        <w:t>655</w:t>
      </w:r>
      <w:r w:rsidR="00E66B7C" w:rsidRPr="00357855">
        <w:rPr>
          <w:rFonts w:ascii="Times New Roman" w:hAnsi="Times New Roman" w:cs="Times New Roman"/>
          <w:sz w:val="24"/>
          <w:szCs w:val="24"/>
        </w:rPr>
        <w:t>)</w:t>
      </w:r>
      <w:r w:rsidR="00383348" w:rsidRPr="00357855">
        <w:rPr>
          <w:rFonts w:ascii="Times New Roman" w:hAnsi="Times New Roman" w:cs="Times New Roman"/>
          <w:sz w:val="24"/>
          <w:szCs w:val="24"/>
        </w:rPr>
        <w:t xml:space="preserve"> </w:t>
      </w:r>
      <w:r w:rsidR="00383348" w:rsidRPr="00357855">
        <w:rPr>
          <w:rFonts w:ascii="Times New Roman" w:hAnsi="Times New Roman" w:cs="Times New Roman"/>
          <w:i/>
          <w:sz w:val="24"/>
          <w:szCs w:val="24"/>
        </w:rPr>
        <w:t>Приложение №2</w:t>
      </w:r>
      <w:r w:rsidR="00357855">
        <w:rPr>
          <w:rFonts w:ascii="Times New Roman" w:hAnsi="Times New Roman" w:cs="Times New Roman"/>
          <w:i/>
          <w:sz w:val="24"/>
          <w:szCs w:val="24"/>
        </w:rPr>
        <w:t>.</w:t>
      </w:r>
      <w:r w:rsidRPr="008F34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6F56" w:rsidRPr="008F341B" w:rsidRDefault="00D56F56" w:rsidP="00F80309">
      <w:pPr>
        <w:shd w:val="clear" w:color="auto" w:fill="FFFFFF"/>
        <w:spacing w:after="12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F341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lastRenderedPageBreak/>
        <w:t xml:space="preserve">2. Информация о проведенных мероприятиях по внедрению антимонопольного комплаенса в </w:t>
      </w:r>
      <w:r w:rsidR="00FA646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>А</w:t>
      </w:r>
      <w:r w:rsidRPr="008F341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 xml:space="preserve">дминистрации Сусуманского </w:t>
      </w:r>
      <w:r w:rsidR="00FA646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 xml:space="preserve">муниципального </w:t>
      </w:r>
      <w:r w:rsidRPr="008F341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>округа</w:t>
      </w:r>
      <w:r w:rsidR="00FA646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 xml:space="preserve"> Магаданской области</w:t>
      </w:r>
      <w:r w:rsidRPr="008F341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>.</w:t>
      </w:r>
    </w:p>
    <w:p w:rsidR="00D56F56" w:rsidRPr="008F341B" w:rsidRDefault="00D56F56" w:rsidP="00F80309">
      <w:pPr>
        <w:shd w:val="clear" w:color="auto" w:fill="FFFFFF"/>
        <w:spacing w:after="12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F341B">
        <w:rPr>
          <w:rFonts w:ascii="Times New Roman" w:hAnsi="Times New Roman" w:cs="Times New Roman"/>
          <w:sz w:val="24"/>
          <w:szCs w:val="24"/>
        </w:rPr>
        <w:t>В целях выявления и оценки рисков нарушения антимонопольного законодательства уполномоченными подразделениями проводится ряд мероприятий.</w:t>
      </w:r>
    </w:p>
    <w:p w:rsidR="00D56F56" w:rsidRPr="008F341B" w:rsidRDefault="00D56F56" w:rsidP="00F80309">
      <w:pPr>
        <w:shd w:val="clear" w:color="auto" w:fill="FFFFFF"/>
        <w:spacing w:after="12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F341B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 </w:t>
      </w:r>
      <w:r w:rsidRPr="008F341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>2.1. Анализ выявленных нарушений антимонопольного законодательства в деятельности администрации за предыдущие три года.</w:t>
      </w:r>
    </w:p>
    <w:p w:rsidR="00D56F56" w:rsidRPr="008F341B" w:rsidRDefault="00D56F56" w:rsidP="00F80309">
      <w:pPr>
        <w:shd w:val="clear" w:color="auto" w:fill="FFFFFF"/>
        <w:spacing w:after="12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F341B">
        <w:rPr>
          <w:rFonts w:ascii="Times New Roman" w:hAnsi="Times New Roman" w:cs="Times New Roman"/>
          <w:sz w:val="24"/>
          <w:szCs w:val="24"/>
        </w:rPr>
        <w:t> Во исполнение пункта 3.6 Положени</w:t>
      </w:r>
      <w:r w:rsidR="00581B4A" w:rsidRPr="008F341B">
        <w:rPr>
          <w:rFonts w:ascii="Times New Roman" w:hAnsi="Times New Roman" w:cs="Times New Roman"/>
          <w:sz w:val="24"/>
          <w:szCs w:val="24"/>
        </w:rPr>
        <w:t>я</w:t>
      </w:r>
      <w:r w:rsidRPr="008F341B">
        <w:rPr>
          <w:rFonts w:ascii="Times New Roman" w:hAnsi="Times New Roman" w:cs="Times New Roman"/>
          <w:sz w:val="24"/>
          <w:szCs w:val="24"/>
        </w:rPr>
        <w:t xml:space="preserve"> структурными подразделениями </w:t>
      </w:r>
      <w:r w:rsidR="000F7CE0">
        <w:rPr>
          <w:rFonts w:ascii="Times New Roman" w:hAnsi="Times New Roman" w:cs="Times New Roman"/>
          <w:sz w:val="24"/>
          <w:szCs w:val="24"/>
        </w:rPr>
        <w:t>А</w:t>
      </w:r>
      <w:r w:rsidR="00581B4A" w:rsidRPr="008F341B">
        <w:rPr>
          <w:rFonts w:ascii="Times New Roman" w:hAnsi="Times New Roman" w:cs="Times New Roman"/>
          <w:sz w:val="24"/>
          <w:szCs w:val="24"/>
        </w:rPr>
        <w:t>дминистрации составлен перечень нарушений антимонопольного законодательства в структурном подразделении, который содержит классифицированные по сферам сведения о выявленных за последние 3 года нарушениях антимонопольного законодательства (отдельно по каждому нарушению) и информацию о каждом нарушении (указание нарушенной нормы антимонопольного законодательства, краткое изложение сути нарушения, указание последствий нарушения антимонопольного законодательства и результата рассмотрения нарушения антимонопольным органом), позицию антимонопольного органа, сведения о мерах по устранению нарушения, а также о мерах, направленных на недопущение повторения нарушения</w:t>
      </w:r>
      <w:r w:rsidRPr="008F341B">
        <w:rPr>
          <w:rFonts w:ascii="Times New Roman" w:hAnsi="Times New Roman" w:cs="Times New Roman"/>
          <w:sz w:val="24"/>
          <w:szCs w:val="24"/>
        </w:rPr>
        <w:t>.</w:t>
      </w:r>
    </w:p>
    <w:p w:rsidR="00211C32" w:rsidRPr="008F341B" w:rsidRDefault="000A7D43" w:rsidP="00F80309">
      <w:pPr>
        <w:shd w:val="clear" w:color="auto" w:fill="FFFFFF"/>
        <w:spacing w:after="12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F34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2.2.</w:t>
      </w:r>
      <w:r w:rsidR="00211C32" w:rsidRPr="008F34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Анализ проектов</w:t>
      </w:r>
      <w:r w:rsidR="00211C32" w:rsidRPr="008F341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="00211C32" w:rsidRPr="008F34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нормативных правовых актов </w:t>
      </w:r>
      <w:r w:rsidR="00FA64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А</w:t>
      </w:r>
      <w:r w:rsidR="00211C32" w:rsidRPr="008F34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дминистрации </w:t>
      </w:r>
      <w:r w:rsidRPr="008F34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Сусуманского </w:t>
      </w:r>
      <w:r w:rsidR="00FA64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муниципального</w:t>
      </w:r>
      <w:r w:rsidR="00010A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округа </w:t>
      </w:r>
      <w:r w:rsidR="00FA64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Магаданской области </w:t>
      </w:r>
      <w:r w:rsidR="00211C32" w:rsidRPr="008F34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на предмет их соответствия антимонопольному законодательству</w:t>
      </w:r>
      <w:r w:rsidR="00211C32" w:rsidRPr="008F341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211C32" w:rsidRPr="008F341B" w:rsidRDefault="00010AA9" w:rsidP="00F80309">
      <w:pPr>
        <w:shd w:val="clear" w:color="auto" w:fill="FFFFFF"/>
        <w:spacing w:after="12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Согласно </w:t>
      </w:r>
      <w:r w:rsidR="00FB666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пункту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4.5 раздела 4 </w:t>
      </w:r>
      <w:r w:rsidR="005026C8" w:rsidRPr="008F341B">
        <w:rPr>
          <w:rFonts w:ascii="Times New Roman" w:hAnsi="Times New Roman" w:cs="Times New Roman"/>
          <w:sz w:val="24"/>
          <w:szCs w:val="24"/>
        </w:rPr>
        <w:t>Положени</w:t>
      </w:r>
      <w:r w:rsidR="005026C8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</w:t>
      </w:r>
      <w:r w:rsidRPr="00010AA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</w:t>
      </w:r>
      <w:r w:rsidR="00211C32" w:rsidRPr="008F341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целях обеспечения проведения анализа</w:t>
      </w:r>
      <w:r w:rsidRPr="00010AA9">
        <w:t xml:space="preserve"> </w:t>
      </w:r>
      <w:r w:rsidRPr="00010AA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на предмет соответствия антимонопольному законодательству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</w:t>
      </w:r>
      <w:r w:rsidR="00211C32" w:rsidRPr="008F341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0A7D43" w:rsidRPr="008F341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нормативные правовые акты</w:t>
      </w:r>
      <w:r w:rsidR="00211C32" w:rsidRPr="008F341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0F7CE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А</w:t>
      </w:r>
      <w:r w:rsidR="00211C32" w:rsidRPr="008F341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дминистрации размещаются на официальном сайте </w:t>
      </w:r>
      <w:r w:rsidR="00B554D5" w:rsidRPr="008F341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муниципального </w:t>
      </w:r>
      <w:r w:rsidR="00A7207F" w:rsidRPr="008F341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образования </w:t>
      </w:r>
      <w:r w:rsidR="00A72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«Сусуманский </w:t>
      </w:r>
      <w:r w:rsidR="00FA646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муниципальный </w:t>
      </w:r>
      <w:r w:rsidR="00A72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округ</w:t>
      </w:r>
      <w:r w:rsidR="00FA646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Магаданской области</w:t>
      </w:r>
      <w:r w:rsidR="00A72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» </w:t>
      </w:r>
      <w:r w:rsidR="00211C32" w:rsidRPr="008F341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 подразделе «</w:t>
      </w:r>
      <w:r w:rsidR="00A72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А</w:t>
      </w:r>
      <w:r w:rsidR="000A7D43" w:rsidRPr="008F341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нализ НПА</w:t>
      </w:r>
      <w:r w:rsidR="00211C32" w:rsidRPr="008F341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» раздела «Антимонопольный комплаенс».</w:t>
      </w:r>
    </w:p>
    <w:p w:rsidR="000A7D43" w:rsidRPr="008F341B" w:rsidRDefault="007B513B" w:rsidP="00F80309">
      <w:pPr>
        <w:shd w:val="clear" w:color="auto" w:fill="FFFFFF"/>
        <w:spacing w:after="12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F341B">
        <w:rPr>
          <w:rFonts w:ascii="Times New Roman" w:hAnsi="Times New Roman" w:cs="Times New Roman"/>
          <w:sz w:val="24"/>
          <w:szCs w:val="24"/>
        </w:rPr>
        <w:t>На основании Положения</w:t>
      </w:r>
      <w:r w:rsidR="005026C8">
        <w:rPr>
          <w:rFonts w:ascii="Times New Roman" w:hAnsi="Times New Roman" w:cs="Times New Roman"/>
          <w:sz w:val="24"/>
          <w:szCs w:val="24"/>
        </w:rPr>
        <w:t>,</w:t>
      </w:r>
      <w:r w:rsidRPr="008F341B">
        <w:rPr>
          <w:rFonts w:ascii="Times New Roman" w:hAnsi="Times New Roman" w:cs="Times New Roman"/>
          <w:sz w:val="24"/>
          <w:szCs w:val="24"/>
        </w:rPr>
        <w:t xml:space="preserve"> в целях публичного обсуждения муниципальных правовых актов, имеющих риск нарушения антимонопольного законодательства, структурные подразделения </w:t>
      </w:r>
      <w:r w:rsidR="00FA646D">
        <w:rPr>
          <w:rFonts w:ascii="Times New Roman" w:hAnsi="Times New Roman" w:cs="Times New Roman"/>
          <w:sz w:val="24"/>
          <w:szCs w:val="24"/>
        </w:rPr>
        <w:t>А</w:t>
      </w:r>
      <w:r w:rsidRPr="008F341B">
        <w:rPr>
          <w:rFonts w:ascii="Times New Roman" w:hAnsi="Times New Roman" w:cs="Times New Roman"/>
          <w:sz w:val="24"/>
          <w:szCs w:val="24"/>
        </w:rPr>
        <w:t xml:space="preserve">дминистрации Сусуманского </w:t>
      </w:r>
      <w:r w:rsidR="00FA646D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8F341B">
        <w:rPr>
          <w:rFonts w:ascii="Times New Roman" w:hAnsi="Times New Roman" w:cs="Times New Roman"/>
          <w:sz w:val="24"/>
          <w:szCs w:val="24"/>
        </w:rPr>
        <w:t>округа</w:t>
      </w:r>
      <w:r w:rsidR="00FA646D">
        <w:rPr>
          <w:rFonts w:ascii="Times New Roman" w:hAnsi="Times New Roman" w:cs="Times New Roman"/>
          <w:sz w:val="24"/>
          <w:szCs w:val="24"/>
        </w:rPr>
        <w:t xml:space="preserve"> Магаданской области</w:t>
      </w:r>
      <w:r w:rsidRPr="008F341B">
        <w:rPr>
          <w:rFonts w:ascii="Times New Roman" w:hAnsi="Times New Roman" w:cs="Times New Roman"/>
          <w:sz w:val="24"/>
          <w:szCs w:val="24"/>
        </w:rPr>
        <w:t xml:space="preserve"> проводят публичные консультации по проектам НПА </w:t>
      </w:r>
    </w:p>
    <w:p w:rsidR="007B513B" w:rsidRPr="008F341B" w:rsidRDefault="007B513B" w:rsidP="00F80309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341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Процедура проведения анализа проектов НПА на предмет выявления рисков нарушения антимонопольного законодательства соблюдена в полном объеме. </w:t>
      </w:r>
      <w:r w:rsidR="00B554D5" w:rsidRPr="008F341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Структурными подразделениями </w:t>
      </w:r>
      <w:r w:rsidR="00471D8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А</w:t>
      </w:r>
      <w:r w:rsidR="00B554D5" w:rsidRPr="008F341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дминистрации реализованы </w:t>
      </w:r>
      <w:r w:rsidR="005026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все </w:t>
      </w:r>
      <w:r w:rsidR="00B554D5" w:rsidRPr="008F341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мероприятия,</w:t>
      </w:r>
      <w:r w:rsidR="005026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перечисленные в </w:t>
      </w:r>
      <w:r w:rsidR="005026C8" w:rsidRPr="008F341B">
        <w:rPr>
          <w:rFonts w:ascii="Times New Roman" w:hAnsi="Times New Roman" w:cs="Times New Roman"/>
          <w:sz w:val="24"/>
          <w:szCs w:val="24"/>
        </w:rPr>
        <w:t>Положени</w:t>
      </w:r>
      <w:r w:rsidR="005026C8">
        <w:rPr>
          <w:rFonts w:ascii="Times New Roman" w:hAnsi="Times New Roman" w:cs="Times New Roman"/>
          <w:sz w:val="24"/>
          <w:szCs w:val="24"/>
        </w:rPr>
        <w:t>и</w:t>
      </w:r>
      <w:r w:rsidR="005026C8" w:rsidRPr="008F341B">
        <w:rPr>
          <w:rFonts w:ascii="Times New Roman" w:hAnsi="Times New Roman" w:cs="Times New Roman"/>
          <w:sz w:val="24"/>
          <w:szCs w:val="24"/>
        </w:rPr>
        <w:t xml:space="preserve"> об антимонопольном комплаенсе</w:t>
      </w:r>
      <w:r w:rsidR="005026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</w:t>
      </w:r>
      <w:r w:rsidR="00B554D5" w:rsidRPr="008F341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а именно: проекты муниципальных правовых актов с прилагаемыми к ним документами (уведомления о начале сбора замечаний и предложений организаций и граждан, обоснование необходимости реализации предлагаемых решений) размещены на официальном сайте муниципального образования «Сусуманский городской округ». </w:t>
      </w:r>
    </w:p>
    <w:p w:rsidR="00B554D5" w:rsidRPr="008F341B" w:rsidRDefault="00B554D5" w:rsidP="00F80309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341B">
        <w:rPr>
          <w:rFonts w:ascii="Times New Roman" w:hAnsi="Times New Roman" w:cs="Times New Roman"/>
          <w:sz w:val="24"/>
          <w:szCs w:val="24"/>
        </w:rPr>
        <w:t>Уведомление о проведении публичных консультаций включает в себя почтовый адрес</w:t>
      </w:r>
      <w:r w:rsidR="00CA5968" w:rsidRPr="008F341B">
        <w:rPr>
          <w:rFonts w:ascii="Times New Roman" w:hAnsi="Times New Roman" w:cs="Times New Roman"/>
          <w:sz w:val="24"/>
          <w:szCs w:val="24"/>
        </w:rPr>
        <w:t xml:space="preserve"> и </w:t>
      </w:r>
      <w:r w:rsidRPr="008F341B">
        <w:rPr>
          <w:rFonts w:ascii="Times New Roman" w:hAnsi="Times New Roman" w:cs="Times New Roman"/>
          <w:sz w:val="24"/>
          <w:szCs w:val="24"/>
        </w:rPr>
        <w:t>адрес электронной почты</w:t>
      </w:r>
      <w:r w:rsidR="00CA5968" w:rsidRPr="008F341B">
        <w:rPr>
          <w:rFonts w:ascii="Times New Roman" w:hAnsi="Times New Roman" w:cs="Times New Roman"/>
          <w:sz w:val="24"/>
          <w:szCs w:val="24"/>
        </w:rPr>
        <w:t xml:space="preserve"> </w:t>
      </w:r>
      <w:r w:rsidR="00FA646D">
        <w:rPr>
          <w:rFonts w:ascii="Times New Roman" w:hAnsi="Times New Roman" w:cs="Times New Roman"/>
          <w:sz w:val="24"/>
          <w:szCs w:val="24"/>
        </w:rPr>
        <w:t>А</w:t>
      </w:r>
      <w:r w:rsidR="00CA5968" w:rsidRPr="008F341B">
        <w:rPr>
          <w:rFonts w:ascii="Times New Roman" w:hAnsi="Times New Roman" w:cs="Times New Roman"/>
          <w:sz w:val="24"/>
          <w:szCs w:val="24"/>
        </w:rPr>
        <w:t xml:space="preserve">дминистрации Сусуманского </w:t>
      </w:r>
      <w:r w:rsidR="00FA646D">
        <w:rPr>
          <w:rFonts w:ascii="Times New Roman" w:hAnsi="Times New Roman" w:cs="Times New Roman"/>
          <w:sz w:val="24"/>
          <w:szCs w:val="24"/>
        </w:rPr>
        <w:t>муниципального</w:t>
      </w:r>
      <w:r w:rsidR="00CA5968" w:rsidRPr="008F341B">
        <w:rPr>
          <w:rFonts w:ascii="Times New Roman" w:hAnsi="Times New Roman" w:cs="Times New Roman"/>
          <w:sz w:val="24"/>
          <w:szCs w:val="24"/>
        </w:rPr>
        <w:t xml:space="preserve"> округа</w:t>
      </w:r>
      <w:r w:rsidR="00FA646D">
        <w:rPr>
          <w:rFonts w:ascii="Times New Roman" w:hAnsi="Times New Roman" w:cs="Times New Roman"/>
          <w:sz w:val="24"/>
          <w:szCs w:val="24"/>
        </w:rPr>
        <w:t xml:space="preserve"> Магаданской области</w:t>
      </w:r>
      <w:r w:rsidRPr="008F341B">
        <w:rPr>
          <w:rFonts w:ascii="Times New Roman" w:hAnsi="Times New Roman" w:cs="Times New Roman"/>
          <w:sz w:val="24"/>
          <w:szCs w:val="24"/>
        </w:rPr>
        <w:t xml:space="preserve">, на которые участники публичных консультаций </w:t>
      </w:r>
      <w:r w:rsidR="00F80309">
        <w:rPr>
          <w:rFonts w:ascii="Times New Roman" w:hAnsi="Times New Roman" w:cs="Times New Roman"/>
          <w:sz w:val="24"/>
          <w:szCs w:val="24"/>
        </w:rPr>
        <w:t>могут направлять</w:t>
      </w:r>
      <w:r w:rsidRPr="008F341B">
        <w:rPr>
          <w:rFonts w:ascii="Times New Roman" w:hAnsi="Times New Roman" w:cs="Times New Roman"/>
          <w:sz w:val="24"/>
          <w:szCs w:val="24"/>
        </w:rPr>
        <w:t xml:space="preserve"> замечания и предложения, наименование проекта муниципального нормативного правового акта, сроки приема замечаний и предложений,</w:t>
      </w:r>
      <w:r w:rsidR="00CA5968" w:rsidRPr="008F341B">
        <w:rPr>
          <w:rFonts w:ascii="Times New Roman" w:hAnsi="Times New Roman" w:cs="Times New Roman"/>
          <w:sz w:val="24"/>
          <w:szCs w:val="24"/>
        </w:rPr>
        <w:t xml:space="preserve"> место размещения в сети Интернет приложений к уведомлению с указанием полной ссылки,</w:t>
      </w:r>
      <w:r w:rsidRPr="008F341B">
        <w:rPr>
          <w:rFonts w:ascii="Times New Roman" w:hAnsi="Times New Roman" w:cs="Times New Roman"/>
          <w:sz w:val="24"/>
          <w:szCs w:val="24"/>
        </w:rPr>
        <w:t xml:space="preserve"> Ф.И.О., должность, телефон контактного лица</w:t>
      </w:r>
      <w:r w:rsidR="00F80309">
        <w:rPr>
          <w:rFonts w:ascii="Times New Roman" w:hAnsi="Times New Roman" w:cs="Times New Roman"/>
          <w:sz w:val="24"/>
          <w:szCs w:val="24"/>
        </w:rPr>
        <w:t xml:space="preserve">. </w:t>
      </w:r>
      <w:r w:rsidR="00F80309" w:rsidRPr="008F341B">
        <w:rPr>
          <w:rFonts w:ascii="Times New Roman" w:hAnsi="Times New Roman" w:cs="Times New Roman"/>
          <w:sz w:val="24"/>
          <w:szCs w:val="24"/>
        </w:rPr>
        <w:t>Т</w:t>
      </w:r>
      <w:r w:rsidR="00CA5968" w:rsidRPr="008F341B">
        <w:rPr>
          <w:rFonts w:ascii="Times New Roman" w:hAnsi="Times New Roman" w:cs="Times New Roman"/>
          <w:sz w:val="24"/>
          <w:szCs w:val="24"/>
        </w:rPr>
        <w:t>екст нормативного правового акта</w:t>
      </w:r>
      <w:r w:rsidR="00F80309">
        <w:rPr>
          <w:rFonts w:ascii="Times New Roman" w:hAnsi="Times New Roman" w:cs="Times New Roman"/>
          <w:sz w:val="24"/>
          <w:szCs w:val="24"/>
        </w:rPr>
        <w:t xml:space="preserve"> прилагается к уведомлению</w:t>
      </w:r>
      <w:r w:rsidRPr="008F341B">
        <w:rPr>
          <w:rFonts w:ascii="Times New Roman" w:hAnsi="Times New Roman" w:cs="Times New Roman"/>
          <w:sz w:val="24"/>
          <w:szCs w:val="24"/>
        </w:rPr>
        <w:t>.</w:t>
      </w:r>
    </w:p>
    <w:p w:rsidR="00CA5968" w:rsidRPr="008F341B" w:rsidRDefault="00CA5968" w:rsidP="00F80309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341B">
        <w:rPr>
          <w:rFonts w:ascii="Times New Roman" w:hAnsi="Times New Roman" w:cs="Times New Roman"/>
          <w:sz w:val="24"/>
          <w:szCs w:val="24"/>
        </w:rPr>
        <w:t xml:space="preserve">Анкета участника публичных консультаций включает в себя наименование организации участника, сфера деятельности организации, Ф.И.О. контактного лица, </w:t>
      </w:r>
      <w:r w:rsidRPr="008F341B">
        <w:rPr>
          <w:rFonts w:ascii="Times New Roman" w:hAnsi="Times New Roman" w:cs="Times New Roman"/>
          <w:sz w:val="24"/>
          <w:szCs w:val="24"/>
        </w:rPr>
        <w:lastRenderedPageBreak/>
        <w:t>номер телефона и адрес электронной почты; сфера государственного регулирования, вид и наименование проекта муниципального нормативного правового акта, наличие (отсутствие) в НПА положений, противоречащих антимонопольному законодательству, предложения и замечания по нормативному правовому акту.</w:t>
      </w:r>
    </w:p>
    <w:p w:rsidR="00CA5968" w:rsidRPr="008F341B" w:rsidRDefault="00CA5968" w:rsidP="00F80309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341B">
        <w:rPr>
          <w:rFonts w:ascii="Times New Roman" w:hAnsi="Times New Roman" w:cs="Times New Roman"/>
          <w:sz w:val="24"/>
          <w:szCs w:val="24"/>
        </w:rPr>
        <w:t>Срок проведения публичных консультаций на проекты муниципальных нормативных правовых актов состав</w:t>
      </w:r>
      <w:r w:rsidR="00F80309">
        <w:rPr>
          <w:rFonts w:ascii="Times New Roman" w:hAnsi="Times New Roman" w:cs="Times New Roman"/>
          <w:sz w:val="24"/>
          <w:szCs w:val="24"/>
        </w:rPr>
        <w:t>ляет</w:t>
      </w:r>
      <w:r w:rsidRPr="008F341B">
        <w:rPr>
          <w:rFonts w:ascii="Times New Roman" w:hAnsi="Times New Roman" w:cs="Times New Roman"/>
          <w:sz w:val="24"/>
          <w:szCs w:val="24"/>
        </w:rPr>
        <w:t xml:space="preserve"> не менее 7 рабочих дней со дня размещения уведомления на</w:t>
      </w:r>
      <w:r w:rsidR="008C7BDF">
        <w:rPr>
          <w:rFonts w:ascii="Times New Roman" w:hAnsi="Times New Roman" w:cs="Times New Roman"/>
          <w:sz w:val="24"/>
          <w:szCs w:val="24"/>
        </w:rPr>
        <w:t xml:space="preserve"> </w:t>
      </w:r>
      <w:r w:rsidR="008C7BDF" w:rsidRPr="008F341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официальном</w:t>
      </w:r>
      <w:r w:rsidRPr="008F341B">
        <w:rPr>
          <w:rFonts w:ascii="Times New Roman" w:hAnsi="Times New Roman" w:cs="Times New Roman"/>
          <w:sz w:val="24"/>
          <w:szCs w:val="24"/>
        </w:rPr>
        <w:t xml:space="preserve"> сайте</w:t>
      </w:r>
      <w:r w:rsidR="008C7BDF" w:rsidRPr="008C7BD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8C7BDF" w:rsidRPr="008F341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муниципального образования «Сусуманский </w:t>
      </w:r>
      <w:r w:rsidR="00FA646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Муниципальный</w:t>
      </w:r>
      <w:r w:rsidR="008C7BDF" w:rsidRPr="008F341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округ</w:t>
      </w:r>
      <w:r w:rsidR="00FA646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Магаданской области</w:t>
      </w:r>
      <w:r w:rsidR="008C7BDF" w:rsidRPr="008F341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»</w:t>
      </w:r>
      <w:r w:rsidRPr="008F341B">
        <w:rPr>
          <w:rFonts w:ascii="Times New Roman" w:hAnsi="Times New Roman" w:cs="Times New Roman"/>
          <w:sz w:val="24"/>
          <w:szCs w:val="24"/>
        </w:rPr>
        <w:t>.</w:t>
      </w:r>
    </w:p>
    <w:p w:rsidR="00CA5968" w:rsidRPr="008F341B" w:rsidRDefault="00CA5968" w:rsidP="00F80309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341B">
        <w:rPr>
          <w:rFonts w:ascii="Times New Roman" w:hAnsi="Times New Roman" w:cs="Times New Roman"/>
          <w:sz w:val="24"/>
          <w:szCs w:val="24"/>
        </w:rPr>
        <w:t>По итогам проведения публичных консультаций замечани</w:t>
      </w:r>
      <w:r w:rsidR="005661F0">
        <w:rPr>
          <w:rFonts w:ascii="Times New Roman" w:hAnsi="Times New Roman" w:cs="Times New Roman"/>
          <w:sz w:val="24"/>
          <w:szCs w:val="24"/>
        </w:rPr>
        <w:t>я</w:t>
      </w:r>
      <w:r w:rsidRPr="008F341B">
        <w:rPr>
          <w:rFonts w:ascii="Times New Roman" w:hAnsi="Times New Roman" w:cs="Times New Roman"/>
          <w:sz w:val="24"/>
          <w:szCs w:val="24"/>
        </w:rPr>
        <w:t xml:space="preserve"> и предложени</w:t>
      </w:r>
      <w:r w:rsidR="005661F0">
        <w:rPr>
          <w:rFonts w:ascii="Times New Roman" w:hAnsi="Times New Roman" w:cs="Times New Roman"/>
          <w:sz w:val="24"/>
          <w:szCs w:val="24"/>
        </w:rPr>
        <w:t>я</w:t>
      </w:r>
      <w:r w:rsidRPr="008F341B">
        <w:rPr>
          <w:rFonts w:ascii="Times New Roman" w:hAnsi="Times New Roman" w:cs="Times New Roman"/>
          <w:sz w:val="24"/>
          <w:szCs w:val="24"/>
        </w:rPr>
        <w:t xml:space="preserve"> </w:t>
      </w:r>
      <w:r w:rsidR="005661F0">
        <w:rPr>
          <w:rFonts w:ascii="Times New Roman" w:hAnsi="Times New Roman" w:cs="Times New Roman"/>
          <w:sz w:val="24"/>
          <w:szCs w:val="24"/>
        </w:rPr>
        <w:t xml:space="preserve">от </w:t>
      </w:r>
      <w:r w:rsidRPr="008F341B">
        <w:rPr>
          <w:rFonts w:ascii="Times New Roman" w:hAnsi="Times New Roman" w:cs="Times New Roman"/>
          <w:sz w:val="24"/>
          <w:szCs w:val="24"/>
        </w:rPr>
        <w:t>организаций и граждан</w:t>
      </w:r>
      <w:r w:rsidR="00BB2B5A">
        <w:rPr>
          <w:rFonts w:ascii="Times New Roman" w:hAnsi="Times New Roman" w:cs="Times New Roman"/>
          <w:sz w:val="24"/>
          <w:szCs w:val="24"/>
        </w:rPr>
        <w:t xml:space="preserve"> на</w:t>
      </w:r>
      <w:r w:rsidRPr="008F341B">
        <w:rPr>
          <w:rFonts w:ascii="Times New Roman" w:hAnsi="Times New Roman" w:cs="Times New Roman"/>
          <w:sz w:val="24"/>
          <w:szCs w:val="24"/>
        </w:rPr>
        <w:t xml:space="preserve"> нарушени</w:t>
      </w:r>
      <w:r w:rsidR="00204B26" w:rsidRPr="008F341B">
        <w:rPr>
          <w:rFonts w:ascii="Times New Roman" w:hAnsi="Times New Roman" w:cs="Times New Roman"/>
          <w:sz w:val="24"/>
          <w:szCs w:val="24"/>
        </w:rPr>
        <w:t>я</w:t>
      </w:r>
      <w:r w:rsidRPr="008F341B">
        <w:rPr>
          <w:rFonts w:ascii="Times New Roman" w:hAnsi="Times New Roman" w:cs="Times New Roman"/>
          <w:sz w:val="24"/>
          <w:szCs w:val="24"/>
        </w:rPr>
        <w:t xml:space="preserve"> антимонопольного законодательства</w:t>
      </w:r>
      <w:r w:rsidR="00204B26" w:rsidRPr="008F341B">
        <w:rPr>
          <w:rFonts w:ascii="Times New Roman" w:hAnsi="Times New Roman" w:cs="Times New Roman"/>
          <w:sz w:val="24"/>
          <w:szCs w:val="24"/>
        </w:rPr>
        <w:t xml:space="preserve"> </w:t>
      </w:r>
      <w:r w:rsidRPr="008F341B">
        <w:rPr>
          <w:rFonts w:ascii="Times New Roman" w:hAnsi="Times New Roman" w:cs="Times New Roman"/>
          <w:sz w:val="24"/>
          <w:szCs w:val="24"/>
        </w:rPr>
        <w:t xml:space="preserve">в деятельности администрации </w:t>
      </w:r>
      <w:r w:rsidR="00204B26" w:rsidRPr="008F341B">
        <w:rPr>
          <w:rFonts w:ascii="Times New Roman" w:hAnsi="Times New Roman" w:cs="Times New Roman"/>
          <w:sz w:val="24"/>
          <w:szCs w:val="24"/>
        </w:rPr>
        <w:t xml:space="preserve">Сусуманского городского округа </w:t>
      </w:r>
      <w:r w:rsidR="00BB2B5A">
        <w:rPr>
          <w:rFonts w:ascii="Times New Roman" w:hAnsi="Times New Roman" w:cs="Times New Roman"/>
          <w:sz w:val="24"/>
          <w:szCs w:val="24"/>
        </w:rPr>
        <w:t>не поступали</w:t>
      </w:r>
      <w:r w:rsidR="00204B26" w:rsidRPr="008F341B">
        <w:rPr>
          <w:rFonts w:ascii="Times New Roman" w:hAnsi="Times New Roman" w:cs="Times New Roman"/>
          <w:sz w:val="24"/>
          <w:szCs w:val="24"/>
        </w:rPr>
        <w:t>.</w:t>
      </w:r>
    </w:p>
    <w:p w:rsidR="006974F8" w:rsidRPr="008F341B" w:rsidRDefault="006974F8" w:rsidP="00F80309">
      <w:pPr>
        <w:shd w:val="clear" w:color="auto" w:fill="FFFFFF"/>
        <w:spacing w:after="12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803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2.</w:t>
      </w:r>
      <w:r w:rsidR="00F80309" w:rsidRPr="00F803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3</w:t>
      </w:r>
      <w:r w:rsidRPr="00F803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. </w:t>
      </w:r>
      <w:r w:rsidR="00CA3684" w:rsidRPr="00F803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Проведение систематической</w:t>
      </w:r>
      <w:r w:rsidRPr="00F803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оценки </w:t>
      </w:r>
      <w:r w:rsidR="00CA3684" w:rsidRPr="00F803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эффективности разработанных</w:t>
      </w:r>
      <w:r w:rsidRPr="00F803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и реализуемых мероприятий по снижению рисков нарушения </w:t>
      </w:r>
      <w:r w:rsidR="00CA3684" w:rsidRPr="00F803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антимонопольного законодательства в</w:t>
      </w:r>
      <w:r w:rsidRPr="00F803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администрации </w:t>
      </w:r>
      <w:r w:rsidR="00F80309" w:rsidRPr="00F803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Сусуманского </w:t>
      </w:r>
      <w:r w:rsidR="00FA64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муниципального</w:t>
      </w:r>
      <w:r w:rsidRPr="00F803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округа</w:t>
      </w:r>
      <w:r w:rsidR="00FA64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Магаданской области</w:t>
      </w:r>
      <w:r w:rsidRPr="00F803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6974F8" w:rsidRPr="008F341B" w:rsidRDefault="006974F8" w:rsidP="00F80309">
      <w:pPr>
        <w:shd w:val="clear" w:color="auto" w:fill="FFFFFF"/>
        <w:spacing w:after="12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F34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8F341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В </w:t>
      </w:r>
      <w:r w:rsidR="00CA3684" w:rsidRPr="008F341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целях выявления рисков</w:t>
      </w:r>
      <w:r w:rsidRPr="008F341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нарушения антимонопольного </w:t>
      </w:r>
      <w:r w:rsidR="00CA3684" w:rsidRPr="008F341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законодательства уполномоченным структурным</w:t>
      </w:r>
      <w:r w:rsidRPr="008F341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CA3684" w:rsidRPr="008F341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подразделени</w:t>
      </w:r>
      <w:r w:rsidR="0060096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е</w:t>
      </w:r>
      <w:r w:rsidR="00CA3684" w:rsidRPr="008F341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 осуществлен</w:t>
      </w:r>
      <w:r w:rsidRPr="008F341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ряд мероприятий, предусмотренных </w:t>
      </w:r>
      <w:r w:rsidR="001F461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Положением</w:t>
      </w:r>
      <w:r w:rsidRPr="008F341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 а именно:</w:t>
      </w:r>
    </w:p>
    <w:p w:rsidR="006974F8" w:rsidRPr="008F341B" w:rsidRDefault="006974F8" w:rsidP="00F80309">
      <w:pPr>
        <w:shd w:val="clear" w:color="auto" w:fill="FFFFFF"/>
        <w:spacing w:after="12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F341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-запрошены предложения от структурных подразделений </w:t>
      </w:r>
      <w:r w:rsidR="000F7CE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А</w:t>
      </w:r>
      <w:r w:rsidRPr="008F341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дминистрации о наиболее вероятных нарушениях антимонопольного законодательства со стороны </w:t>
      </w:r>
      <w:r w:rsidR="000F7CE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А</w:t>
      </w:r>
      <w:r w:rsidRPr="008F341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дминистрации;</w:t>
      </w:r>
    </w:p>
    <w:p w:rsidR="00F80309" w:rsidRDefault="00F80309" w:rsidP="00F80309">
      <w:pPr>
        <w:shd w:val="clear" w:color="auto" w:fill="FFFFFF"/>
        <w:spacing w:after="12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-проведены рабочие совещания с уполномоченными структурными подразделениями с целью обсуждения и анализа результатов проводимой работы по выявлению комплаенс-рисков.</w:t>
      </w:r>
    </w:p>
    <w:p w:rsidR="00600961" w:rsidRDefault="008F341B" w:rsidP="00F80309">
      <w:pPr>
        <w:shd w:val="clear" w:color="auto" w:fill="FFFFFF"/>
        <w:spacing w:after="12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57855">
        <w:rPr>
          <w:rFonts w:ascii="Times New Roman" w:hAnsi="Times New Roman" w:cs="Times New Roman"/>
          <w:sz w:val="24"/>
          <w:szCs w:val="24"/>
        </w:rPr>
        <w:t>Юридическим отделом управления правового обеспечения исполнения полномочий</w:t>
      </w:r>
      <w:r w:rsidR="005661F0" w:rsidRPr="00357855">
        <w:rPr>
          <w:rFonts w:ascii="Times New Roman" w:hAnsi="Times New Roman" w:cs="Times New Roman"/>
          <w:sz w:val="24"/>
          <w:szCs w:val="24"/>
        </w:rPr>
        <w:t xml:space="preserve"> </w:t>
      </w:r>
      <w:r w:rsidRPr="00357855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600961" w:rsidRPr="00357855">
        <w:rPr>
          <w:rFonts w:ascii="Times New Roman" w:hAnsi="Times New Roman" w:cs="Times New Roman"/>
          <w:sz w:val="24"/>
          <w:szCs w:val="24"/>
        </w:rPr>
        <w:t>подпунктом</w:t>
      </w:r>
      <w:r w:rsidRPr="00357855">
        <w:rPr>
          <w:rFonts w:ascii="Times New Roman" w:hAnsi="Times New Roman" w:cs="Times New Roman"/>
          <w:sz w:val="24"/>
          <w:szCs w:val="24"/>
        </w:rPr>
        <w:t xml:space="preserve"> з) п</w:t>
      </w:r>
      <w:r w:rsidR="00600961" w:rsidRPr="00357855">
        <w:rPr>
          <w:rFonts w:ascii="Times New Roman" w:hAnsi="Times New Roman" w:cs="Times New Roman"/>
          <w:sz w:val="24"/>
          <w:szCs w:val="24"/>
        </w:rPr>
        <w:t>ункта</w:t>
      </w:r>
      <w:r w:rsidRPr="00357855">
        <w:rPr>
          <w:rFonts w:ascii="Times New Roman" w:hAnsi="Times New Roman" w:cs="Times New Roman"/>
          <w:sz w:val="24"/>
          <w:szCs w:val="24"/>
        </w:rPr>
        <w:t xml:space="preserve"> 3.3</w:t>
      </w:r>
      <w:r w:rsidR="00357855" w:rsidRPr="00357855">
        <w:rPr>
          <w:rFonts w:ascii="Times New Roman" w:hAnsi="Times New Roman" w:cs="Times New Roman"/>
          <w:sz w:val="24"/>
          <w:szCs w:val="24"/>
        </w:rPr>
        <w:t xml:space="preserve"> </w:t>
      </w:r>
      <w:r w:rsidR="005661F0" w:rsidRPr="00357855">
        <w:rPr>
          <w:rFonts w:ascii="Times New Roman" w:hAnsi="Times New Roman" w:cs="Times New Roman"/>
          <w:sz w:val="24"/>
          <w:szCs w:val="24"/>
        </w:rPr>
        <w:t xml:space="preserve">раздела 3 </w:t>
      </w:r>
      <w:r w:rsidRPr="00357855">
        <w:rPr>
          <w:rFonts w:ascii="Times New Roman" w:hAnsi="Times New Roman" w:cs="Times New Roman"/>
          <w:sz w:val="24"/>
          <w:szCs w:val="24"/>
        </w:rPr>
        <w:t>Положения разработан</w:t>
      </w:r>
      <w:r w:rsidR="005661F0" w:rsidRPr="00357855">
        <w:rPr>
          <w:rFonts w:ascii="Times New Roman" w:hAnsi="Times New Roman" w:cs="Times New Roman"/>
          <w:sz w:val="24"/>
          <w:szCs w:val="24"/>
        </w:rPr>
        <w:t>а карта комплаенс-</w:t>
      </w:r>
      <w:r w:rsidR="005661F0" w:rsidRPr="003578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рисков</w:t>
      </w:r>
      <w:r w:rsidR="00357855" w:rsidRPr="003578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="00A7207F" w:rsidRPr="003578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которые утверждены</w:t>
      </w:r>
      <w:r w:rsidRPr="003578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постановлением администрации Сусуманского городского округа от 13.02.2020 г. № 56</w:t>
      </w:r>
      <w:r w:rsidR="00383348" w:rsidRPr="003578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383348" w:rsidRPr="0035785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Приложение №5</w:t>
      </w:r>
      <w:r w:rsidR="00383348" w:rsidRPr="003578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 w:rsidRPr="003578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8F34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341B" w:rsidRPr="008F341B" w:rsidRDefault="008F341B" w:rsidP="00F80309">
      <w:pPr>
        <w:shd w:val="clear" w:color="auto" w:fill="FFFFFF"/>
        <w:spacing w:after="12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F341B">
        <w:rPr>
          <w:rFonts w:ascii="Times New Roman" w:hAnsi="Times New Roman" w:cs="Times New Roman"/>
          <w:sz w:val="24"/>
          <w:szCs w:val="24"/>
        </w:rPr>
        <w:t xml:space="preserve">При формировании карты </w:t>
      </w:r>
      <w:r w:rsidRPr="008F34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комплаенс-рисков</w:t>
      </w:r>
      <w:r w:rsidRPr="008F341B">
        <w:rPr>
          <w:rFonts w:ascii="Times New Roman" w:hAnsi="Times New Roman" w:cs="Times New Roman"/>
          <w:sz w:val="24"/>
          <w:szCs w:val="24"/>
        </w:rPr>
        <w:t xml:space="preserve"> учтена специфика деятельности </w:t>
      </w:r>
      <w:r w:rsidR="00FA646D">
        <w:rPr>
          <w:rFonts w:ascii="Times New Roman" w:hAnsi="Times New Roman" w:cs="Times New Roman"/>
          <w:sz w:val="24"/>
          <w:szCs w:val="24"/>
        </w:rPr>
        <w:t>А</w:t>
      </w:r>
      <w:r w:rsidRPr="008F341B">
        <w:rPr>
          <w:rFonts w:ascii="Times New Roman" w:hAnsi="Times New Roman" w:cs="Times New Roman"/>
          <w:sz w:val="24"/>
          <w:szCs w:val="24"/>
        </w:rPr>
        <w:t>дминистрации. При этом выявление максимального количества рисков в деятельности структурных подразделений является важнейшей задачей каждого органа местного самоуправления, так как риск - это лишь вероятность наступления неблагоприятных последствий, и своевременное принятие мер по минимизации рисков обеспечит эффективное функционирование органа местного самоуправления, принятие актов и решений, согласующихся как с обязанностью реализации государственно-властных полномочий, так и с обеспечением общественных потребностей.</w:t>
      </w:r>
    </w:p>
    <w:p w:rsidR="006974F8" w:rsidRPr="008F341B" w:rsidRDefault="006974F8" w:rsidP="00F80309">
      <w:pPr>
        <w:shd w:val="clear" w:color="auto" w:fill="FFFFFF"/>
        <w:spacing w:after="12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F341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8F34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2.</w:t>
      </w:r>
      <w:r w:rsidR="00DF56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4</w:t>
      </w:r>
      <w:r w:rsidRPr="008F34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. Мероприятия по снижению рисков нарушения антимонопольного законодательства.</w:t>
      </w:r>
    </w:p>
    <w:p w:rsidR="008F341B" w:rsidRPr="008F341B" w:rsidRDefault="006974F8" w:rsidP="00F80309">
      <w:pPr>
        <w:shd w:val="clear" w:color="auto" w:fill="FFFFFF"/>
        <w:spacing w:after="12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F341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="008F341B" w:rsidRPr="008F341B">
        <w:rPr>
          <w:rFonts w:ascii="Times New Roman" w:hAnsi="Times New Roman" w:cs="Times New Roman"/>
          <w:sz w:val="24"/>
          <w:szCs w:val="24"/>
        </w:rPr>
        <w:t>В целях снижения вероятности наступления и/или минимизации последствий рисков нарушения антимонопольного законодательства</w:t>
      </w:r>
      <w:r w:rsidR="005661F0">
        <w:rPr>
          <w:rFonts w:ascii="Times New Roman" w:hAnsi="Times New Roman" w:cs="Times New Roman"/>
          <w:sz w:val="24"/>
          <w:szCs w:val="24"/>
        </w:rPr>
        <w:t xml:space="preserve"> </w:t>
      </w:r>
      <w:r w:rsidR="005661F0" w:rsidRPr="008F341B">
        <w:rPr>
          <w:rFonts w:ascii="Times New Roman" w:hAnsi="Times New Roman" w:cs="Times New Roman"/>
          <w:sz w:val="24"/>
          <w:szCs w:val="24"/>
        </w:rPr>
        <w:t xml:space="preserve">распоряжением администрации Сусуманского </w:t>
      </w:r>
      <w:r w:rsidR="00FA646D">
        <w:rPr>
          <w:rFonts w:ascii="Times New Roman" w:hAnsi="Times New Roman" w:cs="Times New Roman"/>
          <w:sz w:val="24"/>
          <w:szCs w:val="24"/>
        </w:rPr>
        <w:t xml:space="preserve">муниципального округа Магаданской области </w:t>
      </w:r>
      <w:r w:rsidR="005661F0" w:rsidRPr="008F341B">
        <w:rPr>
          <w:rFonts w:ascii="Times New Roman" w:hAnsi="Times New Roman" w:cs="Times New Roman"/>
          <w:sz w:val="24"/>
          <w:szCs w:val="24"/>
        </w:rPr>
        <w:t>от 12.03.2020 г. № 24-р</w:t>
      </w:r>
      <w:r w:rsidR="005661F0" w:rsidRPr="00CA368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5661F0">
        <w:rPr>
          <w:rFonts w:ascii="Times New Roman" w:hAnsi="Times New Roman" w:cs="Times New Roman"/>
          <w:sz w:val="24"/>
          <w:szCs w:val="24"/>
        </w:rPr>
        <w:t>утвержден</w:t>
      </w:r>
      <w:r w:rsidR="008F341B" w:rsidRPr="008F341B">
        <w:rPr>
          <w:rFonts w:ascii="Times New Roman" w:hAnsi="Times New Roman" w:cs="Times New Roman"/>
          <w:sz w:val="24"/>
          <w:szCs w:val="24"/>
        </w:rPr>
        <w:t xml:space="preserve"> </w:t>
      </w:r>
      <w:r w:rsidR="005661F0" w:rsidRPr="008F341B">
        <w:rPr>
          <w:rFonts w:ascii="Times New Roman" w:hAnsi="Times New Roman" w:cs="Times New Roman"/>
          <w:sz w:val="24"/>
          <w:szCs w:val="24"/>
        </w:rPr>
        <w:t xml:space="preserve">план мероприятий («дорожная карта») по снижению </w:t>
      </w:r>
      <w:r w:rsidR="005661F0">
        <w:rPr>
          <w:rFonts w:ascii="Times New Roman" w:hAnsi="Times New Roman" w:cs="Times New Roman"/>
          <w:sz w:val="24"/>
          <w:szCs w:val="24"/>
        </w:rPr>
        <w:t>комплаенс-</w:t>
      </w:r>
      <w:r w:rsidR="005661F0" w:rsidRPr="008F341B">
        <w:rPr>
          <w:rFonts w:ascii="Times New Roman" w:hAnsi="Times New Roman" w:cs="Times New Roman"/>
          <w:sz w:val="24"/>
          <w:szCs w:val="24"/>
        </w:rPr>
        <w:t>рисков</w:t>
      </w:r>
      <w:r w:rsidR="005661F0">
        <w:rPr>
          <w:rFonts w:ascii="Times New Roman" w:hAnsi="Times New Roman" w:cs="Times New Roman"/>
          <w:sz w:val="24"/>
          <w:szCs w:val="24"/>
        </w:rPr>
        <w:t xml:space="preserve">. План мероприятий </w:t>
      </w:r>
      <w:r w:rsidR="005661F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размещен</w:t>
      </w:r>
      <w:r w:rsidR="005661F0" w:rsidRPr="008F341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на официальном сайте </w:t>
      </w:r>
      <w:r w:rsidR="005661F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муниципального образования «Сусуманский </w:t>
      </w:r>
      <w:r w:rsidR="00FA646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муниципальный </w:t>
      </w:r>
      <w:r w:rsidR="005661F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окру</w:t>
      </w:r>
      <w:r w:rsidR="00FA646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Магаданской области</w:t>
      </w:r>
      <w:r w:rsidR="005661F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»</w:t>
      </w:r>
      <w:r w:rsidR="0038334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(</w:t>
      </w:r>
      <w:r w:rsidR="00383348" w:rsidRPr="00357855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Приложение №6</w:t>
      </w:r>
      <w:r w:rsidR="0038334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)</w:t>
      </w:r>
      <w:r w:rsidR="008F341B" w:rsidRPr="008F341B">
        <w:rPr>
          <w:rFonts w:ascii="Times New Roman" w:hAnsi="Times New Roman" w:cs="Times New Roman"/>
          <w:sz w:val="24"/>
          <w:szCs w:val="24"/>
        </w:rPr>
        <w:t>.</w:t>
      </w:r>
    </w:p>
    <w:p w:rsidR="006974F8" w:rsidRPr="008F341B" w:rsidRDefault="00B659F5" w:rsidP="00F80309">
      <w:pPr>
        <w:shd w:val="clear" w:color="auto" w:fill="FFFFFF"/>
        <w:spacing w:after="12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Управлением по организационной работе и внутренней политике </w:t>
      </w:r>
      <w:r w:rsidR="006974F8" w:rsidRPr="008F341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осуществлено </w:t>
      </w:r>
      <w:r w:rsidRPr="008F341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ознакомление руководителей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структурных подразделений </w:t>
      </w:r>
      <w:r w:rsidR="000F7CE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А</w:t>
      </w:r>
      <w:r w:rsidR="006974F8" w:rsidRPr="008F341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дминистрации 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</w:t>
      </w:r>
      <w:r w:rsidR="006974F8" w:rsidRPr="008F341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остановлением 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12.04.2019 г.</w:t>
      </w:r>
      <w:r w:rsidR="006974F8" w:rsidRPr="008F341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8F341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№ 176 «</w:t>
      </w:r>
      <w:r w:rsidR="006974F8" w:rsidRPr="008F341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б организации </w:t>
      </w:r>
      <w:r w:rsidRPr="008F341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системы</w:t>
      </w:r>
      <w:r w:rsidR="006974F8" w:rsidRPr="008F341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6974F8" w:rsidRPr="008F341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 xml:space="preserve">внутреннего обеспечения </w:t>
      </w:r>
      <w:r w:rsidRPr="008F341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соответствия требованиям</w:t>
      </w:r>
      <w:r w:rsidR="006974F8" w:rsidRPr="008F341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антимонопольного законодательства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(антимонопольного комплаенса)</w:t>
      </w:r>
      <w:r w:rsidR="006974F8" w:rsidRPr="008F341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».</w:t>
      </w:r>
    </w:p>
    <w:p w:rsidR="006974F8" w:rsidRPr="008F341B" w:rsidRDefault="006974F8" w:rsidP="00F80309">
      <w:pPr>
        <w:shd w:val="clear" w:color="auto" w:fill="FFFFFF"/>
        <w:spacing w:after="12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F341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С целью   повышения квалификации сотрудников </w:t>
      </w:r>
      <w:r w:rsidR="000F7CE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А</w:t>
      </w:r>
      <w:r w:rsidR="00A9444A" w:rsidRPr="008F341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дминистрации в</w:t>
      </w:r>
      <w:r w:rsidRPr="008F341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сфере антимонопольного законодательства </w:t>
      </w:r>
      <w:r w:rsidR="00A9444A" w:rsidRPr="008F341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проведен</w:t>
      </w:r>
      <w:r w:rsidR="005661F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ы</w:t>
      </w:r>
      <w:r w:rsidR="00A9444A" w:rsidRPr="008F341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рабоч</w:t>
      </w:r>
      <w:r w:rsidR="005661F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</w:t>
      </w:r>
      <w:r w:rsidR="00A9444A" w:rsidRPr="008F341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е</w:t>
      </w:r>
      <w:r w:rsidRPr="008F341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совещани</w:t>
      </w:r>
      <w:r w:rsidR="005661F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я</w:t>
      </w:r>
      <w:r w:rsidRPr="008F341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по вопросу</w:t>
      </w:r>
      <w:r w:rsidR="005661F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реализации</w:t>
      </w:r>
      <w:r w:rsidRPr="008F341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механизма </w:t>
      </w:r>
      <w:r w:rsidR="00A9444A" w:rsidRPr="008F341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проведения анализа</w:t>
      </w:r>
      <w:r w:rsidRPr="008F341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проектов </w:t>
      </w:r>
      <w:r w:rsidR="00A9444A" w:rsidRPr="008F341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НПА </w:t>
      </w:r>
      <w:r w:rsidR="000F7CE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А</w:t>
      </w:r>
      <w:r w:rsidR="00A9444A" w:rsidRPr="008F341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дминистрации</w:t>
      </w:r>
      <w:r w:rsidRPr="008F341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на предмет соответствия их антимонопольному законодательству, а </w:t>
      </w:r>
      <w:r w:rsidR="00A9444A" w:rsidRPr="008F341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также с</w:t>
      </w:r>
      <w:r w:rsidRPr="008F341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целью ознакомления структурных </w:t>
      </w:r>
      <w:r w:rsidR="00A9444A" w:rsidRPr="008F341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подразделений </w:t>
      </w:r>
      <w:r w:rsidR="00CE687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А</w:t>
      </w:r>
      <w:r w:rsidR="00A9444A" w:rsidRPr="008F341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дминистрации</w:t>
      </w:r>
      <w:r w:rsidRPr="008F341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с возможными рисками нарушения антимонопольного законодательства.</w:t>
      </w:r>
      <w:r w:rsidR="00010AA9" w:rsidRPr="00010AA9">
        <w:t xml:space="preserve"> </w:t>
      </w:r>
      <w:r w:rsidR="00010AA9" w:rsidRPr="00010AA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Осуществляется мониторинг правоприменительной деятельности органов ФАС и судов в области антимонопольного законодательства.</w:t>
      </w:r>
    </w:p>
    <w:p w:rsidR="006974F8" w:rsidRPr="008F341B" w:rsidRDefault="006974F8" w:rsidP="00F80309">
      <w:pPr>
        <w:shd w:val="clear" w:color="auto" w:fill="FFFFFF"/>
        <w:spacing w:after="12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F341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В целях </w:t>
      </w:r>
      <w:r w:rsidR="00B659F5" w:rsidRPr="008F341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исключения </w:t>
      </w:r>
      <w:r w:rsidR="00FA646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B659F5" w:rsidRPr="008F341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положений</w:t>
      </w:r>
      <w:r w:rsidRPr="008F341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, противоречащих </w:t>
      </w:r>
      <w:r w:rsidR="00B659F5" w:rsidRPr="008F341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нормам антимонопольного законодательства</w:t>
      </w:r>
      <w:r w:rsidRPr="008F341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на стадии разработки проектов </w:t>
      </w:r>
      <w:r w:rsidR="00B659F5" w:rsidRPr="008F341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НПА, договоров</w:t>
      </w:r>
      <w:r w:rsidRPr="008F341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, соглашений, </w:t>
      </w:r>
      <w:r w:rsidR="00B659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управлением </w:t>
      </w:r>
      <w:r w:rsidRPr="008F341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правово</w:t>
      </w:r>
      <w:r w:rsidR="00B659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го</w:t>
      </w:r>
      <w:r w:rsidRPr="008F341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обеспечени</w:t>
      </w:r>
      <w:r w:rsidR="00B659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я полномочий</w:t>
      </w:r>
      <w:r w:rsidRPr="008F341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на постоянной основе провод</w:t>
      </w:r>
      <w:r w:rsidR="00B659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я</w:t>
      </w:r>
      <w:r w:rsidRPr="008F341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тся юридическ</w:t>
      </w:r>
      <w:r w:rsidR="00B659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ие</w:t>
      </w:r>
      <w:r w:rsidRPr="008F341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B659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консультации по </w:t>
      </w:r>
      <w:r w:rsidRPr="008F341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перечисленны</w:t>
      </w:r>
      <w:r w:rsidR="00B659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</w:t>
      </w:r>
      <w:r w:rsidRPr="008F341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акт</w:t>
      </w:r>
      <w:r w:rsidR="00B659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ам</w:t>
      </w:r>
      <w:r w:rsidRPr="008F341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 подготовленн</w:t>
      </w:r>
      <w:r w:rsidR="00B659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ым</w:t>
      </w:r>
      <w:r w:rsidRPr="008F341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структурными подразделениями </w:t>
      </w:r>
      <w:r w:rsidR="00CE687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А</w:t>
      </w:r>
      <w:r w:rsidRPr="008F341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дминистрации.</w:t>
      </w:r>
    </w:p>
    <w:p w:rsidR="008F341B" w:rsidRPr="008F341B" w:rsidRDefault="006974F8" w:rsidP="00DF566C">
      <w:p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F34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="008F341B" w:rsidRPr="008F34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2.</w:t>
      </w:r>
      <w:r w:rsidR="00DF56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5</w:t>
      </w:r>
      <w:r w:rsidR="008F341B" w:rsidRPr="008F34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. </w:t>
      </w:r>
      <w:r w:rsidR="00A9444A" w:rsidRPr="008F34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Оценка эффективности</w:t>
      </w:r>
      <w:r w:rsidR="008F341B" w:rsidRPr="008F34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A9444A" w:rsidRPr="008F34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функционирования в</w:t>
      </w:r>
      <w:r w:rsidR="008F341B" w:rsidRPr="008F34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администрации </w:t>
      </w:r>
      <w:r w:rsidR="00B659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Сусуманского </w:t>
      </w:r>
      <w:r w:rsidR="008F341B" w:rsidRPr="008F34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городского округа антимонопольного комплаенса.</w:t>
      </w:r>
    </w:p>
    <w:p w:rsidR="00A9444A" w:rsidRPr="00383348" w:rsidRDefault="008F341B" w:rsidP="00F80309">
      <w:pPr>
        <w:shd w:val="clear" w:color="auto" w:fill="FFFFFF"/>
        <w:spacing w:after="12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F341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="00B659F5" w:rsidRPr="00383348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104778">
        <w:rPr>
          <w:rFonts w:ascii="Times New Roman" w:hAnsi="Times New Roman" w:cs="Times New Roman"/>
          <w:sz w:val="24"/>
          <w:szCs w:val="24"/>
        </w:rPr>
        <w:t>п</w:t>
      </w:r>
      <w:r w:rsidR="00104778" w:rsidRPr="00104778">
        <w:rPr>
          <w:rFonts w:ascii="Times New Roman" w:hAnsi="Times New Roman" w:cs="Times New Roman"/>
          <w:sz w:val="24"/>
          <w:szCs w:val="24"/>
        </w:rPr>
        <w:t>одпункт</w:t>
      </w:r>
      <w:r w:rsidR="00104778">
        <w:rPr>
          <w:rFonts w:ascii="Times New Roman" w:hAnsi="Times New Roman" w:cs="Times New Roman"/>
          <w:sz w:val="24"/>
          <w:szCs w:val="24"/>
        </w:rPr>
        <w:t>ом</w:t>
      </w:r>
      <w:r w:rsidR="00104778" w:rsidRPr="00104778">
        <w:rPr>
          <w:rFonts w:ascii="Times New Roman" w:hAnsi="Times New Roman" w:cs="Times New Roman"/>
          <w:sz w:val="24"/>
          <w:szCs w:val="24"/>
        </w:rPr>
        <w:t xml:space="preserve"> е) </w:t>
      </w:r>
      <w:r w:rsidR="00B659F5" w:rsidRPr="00383348">
        <w:rPr>
          <w:rFonts w:ascii="Times New Roman" w:hAnsi="Times New Roman" w:cs="Times New Roman"/>
          <w:sz w:val="24"/>
          <w:szCs w:val="24"/>
        </w:rPr>
        <w:t>п</w:t>
      </w:r>
      <w:r w:rsidR="00FB6663" w:rsidRPr="00383348">
        <w:rPr>
          <w:rFonts w:ascii="Times New Roman" w:hAnsi="Times New Roman" w:cs="Times New Roman"/>
          <w:sz w:val="24"/>
          <w:szCs w:val="24"/>
        </w:rPr>
        <w:t>ункт</w:t>
      </w:r>
      <w:r w:rsidR="00104778">
        <w:rPr>
          <w:rFonts w:ascii="Times New Roman" w:hAnsi="Times New Roman" w:cs="Times New Roman"/>
          <w:sz w:val="24"/>
          <w:szCs w:val="24"/>
        </w:rPr>
        <w:t>а</w:t>
      </w:r>
      <w:r w:rsidR="00B659F5" w:rsidRPr="00383348">
        <w:rPr>
          <w:rFonts w:ascii="Times New Roman" w:hAnsi="Times New Roman" w:cs="Times New Roman"/>
          <w:sz w:val="24"/>
          <w:szCs w:val="24"/>
        </w:rPr>
        <w:t xml:space="preserve"> </w:t>
      </w:r>
      <w:r w:rsidR="00104778">
        <w:rPr>
          <w:rFonts w:ascii="Times New Roman" w:hAnsi="Times New Roman" w:cs="Times New Roman"/>
          <w:sz w:val="24"/>
          <w:szCs w:val="24"/>
        </w:rPr>
        <w:t>3.5</w:t>
      </w:r>
      <w:r w:rsidR="00B659F5" w:rsidRPr="00383348">
        <w:rPr>
          <w:rFonts w:ascii="Times New Roman" w:hAnsi="Times New Roman" w:cs="Times New Roman"/>
          <w:sz w:val="24"/>
          <w:szCs w:val="24"/>
        </w:rPr>
        <w:t xml:space="preserve"> раздела </w:t>
      </w:r>
      <w:r w:rsidR="00104778">
        <w:rPr>
          <w:rFonts w:ascii="Times New Roman" w:hAnsi="Times New Roman" w:cs="Times New Roman"/>
          <w:sz w:val="24"/>
          <w:szCs w:val="24"/>
        </w:rPr>
        <w:t>3</w:t>
      </w:r>
      <w:r w:rsidR="00B659F5" w:rsidRPr="00383348">
        <w:rPr>
          <w:rFonts w:ascii="Times New Roman" w:hAnsi="Times New Roman" w:cs="Times New Roman"/>
          <w:sz w:val="24"/>
          <w:szCs w:val="24"/>
        </w:rPr>
        <w:t xml:space="preserve"> </w:t>
      </w:r>
      <w:r w:rsidR="00B659F5" w:rsidRPr="0038334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Положения об антимонопольном комплаенсе, руководствуясь методикой расчета ключевых показателей эффективности функционирования антимонопольного комплаенса в администрации Сусуманского городского округа,</w:t>
      </w:r>
      <w:r w:rsidR="00B659F5" w:rsidRPr="00383348">
        <w:rPr>
          <w:rFonts w:ascii="Times New Roman" w:hAnsi="Times New Roman" w:cs="Times New Roman"/>
          <w:sz w:val="24"/>
          <w:szCs w:val="24"/>
        </w:rPr>
        <w:t xml:space="preserve"> к</w:t>
      </w:r>
      <w:r w:rsidRPr="00383348">
        <w:rPr>
          <w:rFonts w:ascii="Times New Roman" w:hAnsi="Times New Roman" w:cs="Times New Roman"/>
          <w:sz w:val="24"/>
          <w:szCs w:val="24"/>
        </w:rPr>
        <w:t xml:space="preserve">омитетом по экономике </w:t>
      </w:r>
      <w:r w:rsidR="00104778">
        <w:rPr>
          <w:rFonts w:ascii="Times New Roman" w:hAnsi="Times New Roman" w:cs="Times New Roman"/>
          <w:sz w:val="24"/>
          <w:szCs w:val="24"/>
        </w:rPr>
        <w:t xml:space="preserve">проведена </w:t>
      </w:r>
      <w:r w:rsidR="00104778" w:rsidRPr="00104778">
        <w:rPr>
          <w:rFonts w:ascii="Times New Roman" w:hAnsi="Times New Roman" w:cs="Times New Roman"/>
          <w:sz w:val="24"/>
          <w:szCs w:val="24"/>
        </w:rPr>
        <w:t xml:space="preserve">подготовка сводной информации для оценки достижений ключевых показателей эффективности антимонопольного комплаенса </w:t>
      </w:r>
      <w:r w:rsidR="00D77707" w:rsidRPr="00104778">
        <w:rPr>
          <w:rFonts w:ascii="Times New Roman" w:hAnsi="Times New Roman" w:cs="Times New Roman"/>
          <w:sz w:val="24"/>
          <w:szCs w:val="24"/>
        </w:rPr>
        <w:t xml:space="preserve">в </w:t>
      </w:r>
      <w:r w:rsidR="00FA646D">
        <w:rPr>
          <w:rFonts w:ascii="Times New Roman" w:hAnsi="Times New Roman" w:cs="Times New Roman"/>
          <w:sz w:val="24"/>
          <w:szCs w:val="24"/>
        </w:rPr>
        <w:t>А</w:t>
      </w:r>
      <w:r w:rsidR="00D77707" w:rsidRPr="00383348">
        <w:rPr>
          <w:rFonts w:ascii="Times New Roman" w:hAnsi="Times New Roman" w:cs="Times New Roman"/>
          <w:sz w:val="24"/>
          <w:szCs w:val="24"/>
        </w:rPr>
        <w:t>дминистрации</w:t>
      </w:r>
      <w:r w:rsidR="00B659F5" w:rsidRPr="00383348">
        <w:rPr>
          <w:rFonts w:ascii="Times New Roman" w:hAnsi="Times New Roman" w:cs="Times New Roman"/>
          <w:sz w:val="24"/>
          <w:szCs w:val="24"/>
        </w:rPr>
        <w:t>.</w:t>
      </w:r>
      <w:r w:rsidRPr="003833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444A" w:rsidRPr="00383348" w:rsidRDefault="00A9444A" w:rsidP="00F80309">
      <w:pPr>
        <w:shd w:val="clear" w:color="auto" w:fill="FFFFFF"/>
        <w:spacing w:after="12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38334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 соответствии с методикой, ключевыми показателями эффективности антимонопольного комплаенса в администрации городского округа комплаенса являются:</w:t>
      </w:r>
    </w:p>
    <w:p w:rsidR="00A9444A" w:rsidRPr="00383348" w:rsidRDefault="00A9444A" w:rsidP="00F80309">
      <w:pPr>
        <w:shd w:val="clear" w:color="auto" w:fill="FFFFFF"/>
        <w:spacing w:after="12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38334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1) факты выдачи </w:t>
      </w:r>
      <w:r w:rsidR="00FA646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</w:t>
      </w:r>
      <w:r w:rsidRPr="0038334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дминистрации (структурным подразделениям) предупреждения и (или) решения (предписания) по результатам рассмотрения дела о нарушении антимонопольного законодательства (за исключением предупреждений, решений, предписаний, отмененных вступившим в законную силу судебным актом);</w:t>
      </w:r>
    </w:p>
    <w:p w:rsidR="00A9444A" w:rsidRPr="00383348" w:rsidRDefault="00A9444A" w:rsidP="00F80309">
      <w:pPr>
        <w:shd w:val="clear" w:color="auto" w:fill="FFFFFF"/>
        <w:spacing w:after="12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38334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2) вступившие в законную силу решения судов о признании недействительными нормативных правовых актов, незаконными решений и действий (бездействия) администрации Сусуманского городского округа должностных лиц ввиду их несоответствия закону или иному нормативному правовому акту и нарушения права и законных интересов юридических и физических лиц в сфере предпринимательской и иной экономической деятельности, незаконного возложения на них каких-либо обязанностей, создания иных препятствий для осуществления предпринимательской и иной экономической деятельности;</w:t>
      </w:r>
    </w:p>
    <w:p w:rsidR="00A9444A" w:rsidRPr="00383348" w:rsidRDefault="00A9444A" w:rsidP="00F80309">
      <w:pPr>
        <w:shd w:val="clear" w:color="auto" w:fill="FFFFFF"/>
        <w:spacing w:after="12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38334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3) </w:t>
      </w:r>
      <w:r w:rsidR="00F838A6" w:rsidRPr="0038334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</w:t>
      </w:r>
      <w:r w:rsidRPr="0038334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боснованные жалобы на решения, действия </w:t>
      </w:r>
      <w:r w:rsidR="00471D8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</w:t>
      </w:r>
      <w:r w:rsidRPr="0038334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дминистраци</w:t>
      </w:r>
      <w:r w:rsidR="00471D8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</w:t>
      </w:r>
      <w:r w:rsidRPr="0038334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и (или) должностных лиц, ведущие к ограничению конкуренции и поданные в органы прокуратуры, в адрес уполномоченного по защите прав предпринимателей в Магаданской области, с учетом вступивших в законную силу судебных актов (при наличии);</w:t>
      </w:r>
    </w:p>
    <w:p w:rsidR="00A9444A" w:rsidRPr="00383348" w:rsidRDefault="00A9444A" w:rsidP="00F80309">
      <w:pPr>
        <w:shd w:val="clear" w:color="auto" w:fill="FFFFFF"/>
        <w:spacing w:after="12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34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4) </w:t>
      </w:r>
      <w:r w:rsidR="00F838A6" w:rsidRPr="0038334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</w:t>
      </w:r>
      <w:r w:rsidRPr="0038334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ыполнение плана мероприятий («дорожной карты») по снижению рисков нарушения антимонопольного законодательства.</w:t>
      </w:r>
    </w:p>
    <w:p w:rsidR="008F341B" w:rsidRDefault="00B659F5" w:rsidP="00F80309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348">
        <w:rPr>
          <w:rFonts w:ascii="Times New Roman" w:hAnsi="Times New Roman" w:cs="Times New Roman"/>
          <w:sz w:val="24"/>
          <w:szCs w:val="24"/>
        </w:rPr>
        <w:t>С</w:t>
      </w:r>
      <w:r w:rsidR="008F341B" w:rsidRPr="00383348">
        <w:rPr>
          <w:rFonts w:ascii="Times New Roman" w:hAnsi="Times New Roman" w:cs="Times New Roman"/>
          <w:sz w:val="24"/>
          <w:szCs w:val="24"/>
        </w:rPr>
        <w:t>огласно</w:t>
      </w:r>
      <w:r w:rsidRPr="00383348">
        <w:rPr>
          <w:rFonts w:ascii="Times New Roman" w:hAnsi="Times New Roman" w:cs="Times New Roman"/>
          <w:sz w:val="24"/>
          <w:szCs w:val="24"/>
        </w:rPr>
        <w:t xml:space="preserve"> расчетам</w:t>
      </w:r>
      <w:r w:rsidR="008F341B" w:rsidRPr="00383348">
        <w:rPr>
          <w:rFonts w:ascii="Times New Roman" w:hAnsi="Times New Roman" w:cs="Times New Roman"/>
          <w:sz w:val="24"/>
          <w:szCs w:val="24"/>
        </w:rPr>
        <w:t xml:space="preserve"> </w:t>
      </w:r>
      <w:r w:rsidR="00A9444A" w:rsidRPr="00383348">
        <w:rPr>
          <w:rFonts w:ascii="Times New Roman" w:hAnsi="Times New Roman" w:cs="Times New Roman"/>
          <w:sz w:val="24"/>
          <w:szCs w:val="24"/>
        </w:rPr>
        <w:t xml:space="preserve">итоговый показатель оценивается как высокий, </w:t>
      </w:r>
      <w:r w:rsidR="008F341B" w:rsidRPr="00383348">
        <w:rPr>
          <w:rFonts w:ascii="Times New Roman" w:hAnsi="Times New Roman" w:cs="Times New Roman"/>
          <w:sz w:val="24"/>
          <w:szCs w:val="24"/>
        </w:rPr>
        <w:t>все целевые значения ключевых показателей эффективности достигнуты</w:t>
      </w:r>
      <w:r w:rsidR="00744284">
        <w:rPr>
          <w:rFonts w:ascii="Times New Roman" w:hAnsi="Times New Roman" w:cs="Times New Roman"/>
          <w:sz w:val="24"/>
          <w:szCs w:val="24"/>
        </w:rPr>
        <w:t>.</w:t>
      </w:r>
    </w:p>
    <w:p w:rsidR="004D3678" w:rsidRDefault="004D3678" w:rsidP="00744284">
      <w:pPr>
        <w:spacing w:after="120" w:line="240" w:lineRule="exact"/>
        <w:jc w:val="center"/>
        <w:rPr>
          <w:rFonts w:ascii="Times New Roman" w:hAnsi="Times New Roman" w:cs="Times New Roman"/>
          <w:caps/>
          <w:szCs w:val="28"/>
        </w:rPr>
      </w:pPr>
    </w:p>
    <w:p w:rsidR="00744284" w:rsidRPr="00744284" w:rsidRDefault="00744284" w:rsidP="00744284">
      <w:pPr>
        <w:spacing w:after="120" w:line="240" w:lineRule="exact"/>
        <w:jc w:val="center"/>
        <w:rPr>
          <w:rFonts w:ascii="Times New Roman" w:hAnsi="Times New Roman" w:cs="Times New Roman"/>
          <w:caps/>
          <w:szCs w:val="28"/>
        </w:rPr>
      </w:pPr>
      <w:r w:rsidRPr="00744284">
        <w:rPr>
          <w:rFonts w:ascii="Times New Roman" w:hAnsi="Times New Roman" w:cs="Times New Roman"/>
          <w:caps/>
          <w:szCs w:val="28"/>
        </w:rPr>
        <w:lastRenderedPageBreak/>
        <w:t>методика расчета ключевых показателей</w:t>
      </w:r>
    </w:p>
    <w:p w:rsidR="00744284" w:rsidRPr="00744284" w:rsidRDefault="00744284" w:rsidP="00744284">
      <w:pPr>
        <w:spacing w:line="240" w:lineRule="exact"/>
        <w:jc w:val="center"/>
        <w:rPr>
          <w:rFonts w:ascii="Times New Roman" w:hAnsi="Times New Roman" w:cs="Times New Roman"/>
          <w:szCs w:val="28"/>
        </w:rPr>
      </w:pPr>
      <w:r w:rsidRPr="00744284">
        <w:rPr>
          <w:rFonts w:ascii="Times New Roman" w:hAnsi="Times New Roman" w:cs="Times New Roman"/>
          <w:szCs w:val="28"/>
        </w:rPr>
        <w:t>эффективности функционирования антимонопольного комплаенса в администрации Сусуманского городского округа</w:t>
      </w:r>
    </w:p>
    <w:tbl>
      <w:tblPr>
        <w:tblStyle w:val="3"/>
        <w:tblW w:w="5000" w:type="pct"/>
        <w:tblLook w:val="04A0" w:firstRow="1" w:lastRow="0" w:firstColumn="1" w:lastColumn="0" w:noHBand="0" w:noVBand="1"/>
      </w:tblPr>
      <w:tblGrid>
        <w:gridCol w:w="573"/>
        <w:gridCol w:w="6932"/>
        <w:gridCol w:w="1500"/>
      </w:tblGrid>
      <w:tr w:rsidR="00744284" w:rsidRPr="00744284" w:rsidTr="00744284">
        <w:trPr>
          <w:tblHeader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284" w:rsidRPr="00744284" w:rsidRDefault="00744284" w:rsidP="00505824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744284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3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284" w:rsidRPr="00744284" w:rsidRDefault="00744284" w:rsidP="00505824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744284">
              <w:rPr>
                <w:rFonts w:ascii="Times New Roman" w:hAnsi="Times New Roman" w:cs="Times New Roman"/>
                <w:b/>
              </w:rPr>
              <w:t>Наименование ключевого показателя эффективности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284" w:rsidRPr="00744284" w:rsidRDefault="00744284" w:rsidP="00505824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744284">
              <w:rPr>
                <w:rFonts w:ascii="Times New Roman" w:hAnsi="Times New Roman" w:cs="Times New Roman"/>
                <w:b/>
              </w:rPr>
              <w:t>Значение показателя в баллах</w:t>
            </w:r>
          </w:p>
        </w:tc>
      </w:tr>
      <w:tr w:rsidR="00744284" w:rsidRPr="00744284" w:rsidTr="00744284">
        <w:trPr>
          <w:tblHeader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284" w:rsidRPr="00744284" w:rsidRDefault="00744284" w:rsidP="00505824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428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284" w:rsidRPr="00744284" w:rsidRDefault="00744284" w:rsidP="00505824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4284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284" w:rsidRPr="00744284" w:rsidRDefault="00744284" w:rsidP="00505824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4284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744284" w:rsidRPr="00744284" w:rsidTr="00744284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284" w:rsidRPr="00744284" w:rsidRDefault="00744284" w:rsidP="00505824">
            <w:pPr>
              <w:spacing w:before="120" w:line="240" w:lineRule="exact"/>
              <w:jc w:val="center"/>
              <w:rPr>
                <w:rFonts w:ascii="Times New Roman" w:hAnsi="Times New Roman" w:cs="Times New Roman"/>
              </w:rPr>
            </w:pPr>
            <w:r w:rsidRPr="00744284">
              <w:rPr>
                <w:rFonts w:ascii="Times New Roman" w:hAnsi="Times New Roman" w:cs="Times New Roman"/>
              </w:rPr>
              <w:t xml:space="preserve">1. </w:t>
            </w:r>
          </w:p>
        </w:tc>
        <w:tc>
          <w:tcPr>
            <w:tcW w:w="3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284" w:rsidRPr="00744284" w:rsidRDefault="00744284" w:rsidP="00505824">
            <w:pPr>
              <w:spacing w:before="120" w:line="240" w:lineRule="exact"/>
              <w:jc w:val="both"/>
              <w:rPr>
                <w:rFonts w:ascii="Times New Roman" w:hAnsi="Times New Roman" w:cs="Times New Roman"/>
              </w:rPr>
            </w:pPr>
            <w:r w:rsidRPr="00744284">
              <w:rPr>
                <w:rFonts w:ascii="Times New Roman" w:hAnsi="Times New Roman" w:cs="Times New Roman"/>
              </w:rPr>
              <w:t>Факты выдачи администрации Сусуманского городского округа (структурным подразделениям) предупреждения и (или) решения (предписания) по результатам рассмотрения дела о нарушении антимонопольного законодательства (за исключением предупреждений, решений, предписаний, отмененных вступившим в законную силу судебным актом)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284" w:rsidRPr="00744284" w:rsidRDefault="00744284" w:rsidP="00505824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744284">
              <w:rPr>
                <w:rFonts w:ascii="Times New Roman" w:hAnsi="Times New Roman" w:cs="Times New Roman"/>
                <w:b/>
                <w:lang w:val="en-US"/>
              </w:rPr>
              <w:t>35</w:t>
            </w:r>
          </w:p>
        </w:tc>
      </w:tr>
      <w:tr w:rsidR="00744284" w:rsidRPr="00744284" w:rsidTr="00744284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284" w:rsidRPr="00744284" w:rsidRDefault="00744284" w:rsidP="00505824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284" w:rsidRPr="00744284" w:rsidRDefault="00744284" w:rsidP="00505824">
            <w:pPr>
              <w:spacing w:before="120" w:line="240" w:lineRule="exact"/>
              <w:jc w:val="center"/>
              <w:rPr>
                <w:rFonts w:ascii="Times New Roman" w:hAnsi="Times New Roman" w:cs="Times New Roman"/>
              </w:rPr>
            </w:pPr>
            <w:r w:rsidRPr="00744284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284" w:rsidRPr="00744284" w:rsidRDefault="00744284" w:rsidP="00505824">
            <w:pPr>
              <w:spacing w:before="12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744284">
              <w:rPr>
                <w:rFonts w:ascii="Times New Roman" w:hAnsi="Times New Roman" w:cs="Times New Roman"/>
              </w:rPr>
              <w:t>35</w:t>
            </w:r>
          </w:p>
        </w:tc>
      </w:tr>
      <w:tr w:rsidR="00744284" w:rsidRPr="00744284" w:rsidTr="00744284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284" w:rsidRPr="00744284" w:rsidRDefault="00744284" w:rsidP="00505824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284" w:rsidRPr="00744284" w:rsidRDefault="00744284" w:rsidP="00505824">
            <w:pPr>
              <w:spacing w:before="120" w:line="240" w:lineRule="exact"/>
              <w:jc w:val="center"/>
              <w:rPr>
                <w:rFonts w:ascii="Times New Roman" w:hAnsi="Times New Roman" w:cs="Times New Roman"/>
              </w:rPr>
            </w:pPr>
            <w:r w:rsidRPr="007442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284" w:rsidRPr="00744284" w:rsidRDefault="00744284" w:rsidP="00505824">
            <w:pPr>
              <w:spacing w:before="120" w:line="240" w:lineRule="exact"/>
              <w:jc w:val="center"/>
              <w:rPr>
                <w:rFonts w:ascii="Times New Roman" w:hAnsi="Times New Roman" w:cs="Times New Roman"/>
              </w:rPr>
            </w:pPr>
            <w:r w:rsidRPr="00744284">
              <w:rPr>
                <w:rFonts w:ascii="Times New Roman" w:hAnsi="Times New Roman" w:cs="Times New Roman"/>
              </w:rPr>
              <w:t>15</w:t>
            </w:r>
          </w:p>
        </w:tc>
      </w:tr>
      <w:tr w:rsidR="00744284" w:rsidRPr="00744284" w:rsidTr="00744284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284" w:rsidRPr="00744284" w:rsidRDefault="00744284" w:rsidP="00505824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284" w:rsidRPr="00744284" w:rsidRDefault="00744284" w:rsidP="00505824">
            <w:pPr>
              <w:spacing w:before="120" w:line="240" w:lineRule="exact"/>
              <w:jc w:val="center"/>
              <w:rPr>
                <w:rFonts w:ascii="Times New Roman" w:hAnsi="Times New Roman" w:cs="Times New Roman"/>
              </w:rPr>
            </w:pPr>
            <w:r w:rsidRPr="00744284">
              <w:rPr>
                <w:rFonts w:ascii="Times New Roman" w:hAnsi="Times New Roman" w:cs="Times New Roman"/>
              </w:rPr>
              <w:t>более 1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284" w:rsidRPr="00744284" w:rsidRDefault="00744284" w:rsidP="00505824">
            <w:pPr>
              <w:spacing w:before="120" w:line="240" w:lineRule="exact"/>
              <w:jc w:val="center"/>
              <w:rPr>
                <w:rFonts w:ascii="Times New Roman" w:hAnsi="Times New Roman" w:cs="Times New Roman"/>
              </w:rPr>
            </w:pPr>
            <w:r w:rsidRPr="00744284">
              <w:rPr>
                <w:rFonts w:ascii="Times New Roman" w:hAnsi="Times New Roman" w:cs="Times New Roman"/>
              </w:rPr>
              <w:t>0</w:t>
            </w:r>
          </w:p>
        </w:tc>
      </w:tr>
      <w:tr w:rsidR="00744284" w:rsidRPr="00744284" w:rsidTr="00744284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284" w:rsidRPr="00744284" w:rsidRDefault="00744284" w:rsidP="00505824">
            <w:pPr>
              <w:spacing w:before="120" w:line="240" w:lineRule="exact"/>
              <w:jc w:val="center"/>
              <w:rPr>
                <w:rFonts w:ascii="Times New Roman" w:hAnsi="Times New Roman" w:cs="Times New Roman"/>
              </w:rPr>
            </w:pPr>
            <w:r w:rsidRPr="0074428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284" w:rsidRPr="00744284" w:rsidRDefault="00744284" w:rsidP="00505824">
            <w:pPr>
              <w:spacing w:before="120" w:line="240" w:lineRule="exact"/>
              <w:jc w:val="both"/>
              <w:rPr>
                <w:rFonts w:ascii="Times New Roman" w:hAnsi="Times New Roman" w:cs="Times New Roman"/>
              </w:rPr>
            </w:pPr>
            <w:r w:rsidRPr="00744284">
              <w:rPr>
                <w:rFonts w:ascii="Times New Roman" w:hAnsi="Times New Roman" w:cs="Times New Roman"/>
              </w:rPr>
              <w:t>Вступившие в законную силу решения судов о признании недействительными нормативных правовых актов, незаконными решений и действий (бездействия) администрации Сусуманского городского округа должностных лиц ввиду их несоответствия закону или иному нормативному правовому акту и нарушения права и законных интересов юридических и физических лиц в сфере предпринимательской и иной экономической деятельности, незаконного возложения на них каких-либо обязанностей, создания иных препятствий для осуществления предпринимательской и иной экономической деятельности.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284" w:rsidRPr="00744284" w:rsidRDefault="00744284" w:rsidP="00505824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744284">
              <w:rPr>
                <w:rFonts w:ascii="Times New Roman" w:hAnsi="Times New Roman" w:cs="Times New Roman"/>
                <w:b/>
                <w:lang w:val="en-US"/>
              </w:rPr>
              <w:t>35</w:t>
            </w:r>
          </w:p>
        </w:tc>
      </w:tr>
      <w:tr w:rsidR="00744284" w:rsidRPr="00744284" w:rsidTr="00744284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284" w:rsidRPr="00744284" w:rsidRDefault="00744284" w:rsidP="00505824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284" w:rsidRPr="00744284" w:rsidRDefault="00744284" w:rsidP="00505824">
            <w:pPr>
              <w:spacing w:before="120" w:line="240" w:lineRule="exact"/>
              <w:jc w:val="center"/>
              <w:rPr>
                <w:rFonts w:ascii="Times New Roman" w:hAnsi="Times New Roman" w:cs="Times New Roman"/>
              </w:rPr>
            </w:pPr>
            <w:r w:rsidRPr="00744284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284" w:rsidRPr="00744284" w:rsidRDefault="00744284" w:rsidP="00505824">
            <w:pPr>
              <w:spacing w:before="120" w:line="240" w:lineRule="exact"/>
              <w:jc w:val="center"/>
              <w:rPr>
                <w:rFonts w:ascii="Times New Roman" w:hAnsi="Times New Roman" w:cs="Times New Roman"/>
              </w:rPr>
            </w:pPr>
            <w:r w:rsidRPr="00744284">
              <w:rPr>
                <w:rFonts w:ascii="Times New Roman" w:hAnsi="Times New Roman" w:cs="Times New Roman"/>
              </w:rPr>
              <w:t>35</w:t>
            </w:r>
          </w:p>
        </w:tc>
      </w:tr>
      <w:tr w:rsidR="00744284" w:rsidRPr="00744284" w:rsidTr="00744284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284" w:rsidRPr="00744284" w:rsidRDefault="00744284" w:rsidP="00505824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284" w:rsidRPr="00744284" w:rsidRDefault="00744284" w:rsidP="00505824">
            <w:pPr>
              <w:spacing w:before="120" w:line="240" w:lineRule="exact"/>
              <w:jc w:val="center"/>
              <w:rPr>
                <w:rFonts w:ascii="Times New Roman" w:hAnsi="Times New Roman" w:cs="Times New Roman"/>
              </w:rPr>
            </w:pPr>
            <w:r w:rsidRPr="00744284">
              <w:rPr>
                <w:rFonts w:ascii="Times New Roman" w:hAnsi="Times New Roman" w:cs="Times New Roman"/>
              </w:rPr>
              <w:t>менее 15 процентов от числа обжалованных актов, решений и действий (бездействия) или15 и более процентов от числа обжалованных актов, решений и действий (бездействия), но менее 5 процентов от числа вынесенных актов, решений и действий (бездействий)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284" w:rsidRPr="00744284" w:rsidRDefault="00744284" w:rsidP="00505824">
            <w:pPr>
              <w:spacing w:before="120" w:line="240" w:lineRule="exact"/>
              <w:jc w:val="center"/>
              <w:rPr>
                <w:rFonts w:ascii="Times New Roman" w:hAnsi="Times New Roman" w:cs="Times New Roman"/>
              </w:rPr>
            </w:pPr>
            <w:r w:rsidRPr="00744284">
              <w:rPr>
                <w:rFonts w:ascii="Times New Roman" w:hAnsi="Times New Roman" w:cs="Times New Roman"/>
              </w:rPr>
              <w:t>20</w:t>
            </w:r>
          </w:p>
        </w:tc>
      </w:tr>
      <w:tr w:rsidR="00744284" w:rsidRPr="00744284" w:rsidTr="00744284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284" w:rsidRPr="00744284" w:rsidRDefault="00744284" w:rsidP="00505824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284" w:rsidRPr="00744284" w:rsidRDefault="00744284" w:rsidP="00505824">
            <w:pPr>
              <w:spacing w:before="120" w:line="240" w:lineRule="exact"/>
              <w:jc w:val="center"/>
              <w:rPr>
                <w:rFonts w:ascii="Times New Roman" w:hAnsi="Times New Roman" w:cs="Times New Roman"/>
              </w:rPr>
            </w:pPr>
            <w:r w:rsidRPr="00744284">
              <w:rPr>
                <w:rFonts w:ascii="Times New Roman" w:hAnsi="Times New Roman" w:cs="Times New Roman"/>
              </w:rPr>
              <w:t xml:space="preserve">15 и более процентов от числа обжалованных актов, решений и действий (бездействия) и 5 и более процентов от числа вынесенных актов, решений и действий (бездействий) 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284" w:rsidRPr="00744284" w:rsidRDefault="00744284" w:rsidP="00505824">
            <w:pPr>
              <w:spacing w:before="120" w:line="240" w:lineRule="exact"/>
              <w:jc w:val="center"/>
              <w:rPr>
                <w:rFonts w:ascii="Times New Roman" w:hAnsi="Times New Roman" w:cs="Times New Roman"/>
              </w:rPr>
            </w:pPr>
            <w:r w:rsidRPr="00744284">
              <w:rPr>
                <w:rFonts w:ascii="Times New Roman" w:hAnsi="Times New Roman" w:cs="Times New Roman"/>
              </w:rPr>
              <w:t>0</w:t>
            </w:r>
          </w:p>
        </w:tc>
      </w:tr>
      <w:tr w:rsidR="00744284" w:rsidRPr="00744284" w:rsidTr="00744284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284" w:rsidRPr="00744284" w:rsidRDefault="00744284" w:rsidP="00505824">
            <w:pPr>
              <w:spacing w:before="120" w:line="240" w:lineRule="exact"/>
              <w:jc w:val="center"/>
              <w:rPr>
                <w:rFonts w:ascii="Times New Roman" w:hAnsi="Times New Roman" w:cs="Times New Roman"/>
              </w:rPr>
            </w:pPr>
            <w:r w:rsidRPr="0074428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284" w:rsidRPr="00744284" w:rsidRDefault="00744284" w:rsidP="00505824">
            <w:pPr>
              <w:spacing w:before="120" w:line="240" w:lineRule="exact"/>
              <w:jc w:val="both"/>
              <w:rPr>
                <w:rFonts w:ascii="Times New Roman" w:hAnsi="Times New Roman" w:cs="Times New Roman"/>
              </w:rPr>
            </w:pPr>
            <w:r w:rsidRPr="00744284">
              <w:rPr>
                <w:rFonts w:ascii="Times New Roman" w:hAnsi="Times New Roman" w:cs="Times New Roman"/>
              </w:rPr>
              <w:t>Обоснованные жалобы на решения, действия администрации Сусуманского городского округа и (или) должностных лиц, ведущие к ограничению конкуренции и поданные в органы прокуратуры, в адрес уполномоченного по защите прав предпринимателей в Магаданской области, с учетом вступивших в законную силу судебных актов (при наличии)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284" w:rsidRPr="00744284" w:rsidRDefault="00744284" w:rsidP="00505824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744284">
              <w:rPr>
                <w:rFonts w:ascii="Times New Roman" w:hAnsi="Times New Roman" w:cs="Times New Roman"/>
                <w:b/>
                <w:lang w:val="en-US"/>
              </w:rPr>
              <w:t>10</w:t>
            </w:r>
          </w:p>
        </w:tc>
      </w:tr>
      <w:tr w:rsidR="00744284" w:rsidRPr="00744284" w:rsidTr="00744284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284" w:rsidRPr="00744284" w:rsidRDefault="00744284" w:rsidP="00505824">
            <w:pPr>
              <w:spacing w:before="12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284" w:rsidRPr="00744284" w:rsidRDefault="00744284" w:rsidP="00505824">
            <w:pPr>
              <w:spacing w:before="120" w:line="240" w:lineRule="exact"/>
              <w:jc w:val="center"/>
              <w:rPr>
                <w:rFonts w:ascii="Times New Roman" w:hAnsi="Times New Roman" w:cs="Times New Roman"/>
              </w:rPr>
            </w:pPr>
            <w:r w:rsidRPr="00744284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284" w:rsidRPr="00744284" w:rsidRDefault="00744284" w:rsidP="00505824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744284">
              <w:rPr>
                <w:rFonts w:ascii="Times New Roman" w:hAnsi="Times New Roman" w:cs="Times New Roman"/>
              </w:rPr>
              <w:t>10</w:t>
            </w:r>
          </w:p>
        </w:tc>
      </w:tr>
      <w:tr w:rsidR="00744284" w:rsidRPr="00744284" w:rsidTr="00744284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284" w:rsidRPr="00744284" w:rsidRDefault="00744284" w:rsidP="00505824">
            <w:pPr>
              <w:spacing w:before="12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284" w:rsidRPr="00744284" w:rsidRDefault="00744284" w:rsidP="00505824">
            <w:pPr>
              <w:spacing w:before="120" w:line="240" w:lineRule="exact"/>
              <w:jc w:val="center"/>
              <w:rPr>
                <w:rFonts w:ascii="Times New Roman" w:hAnsi="Times New Roman" w:cs="Times New Roman"/>
              </w:rPr>
            </w:pPr>
            <w:r w:rsidRPr="00744284"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284" w:rsidRPr="00744284" w:rsidRDefault="00744284" w:rsidP="00505824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744284">
              <w:rPr>
                <w:rFonts w:ascii="Times New Roman" w:hAnsi="Times New Roman" w:cs="Times New Roman"/>
              </w:rPr>
              <w:t>0</w:t>
            </w:r>
          </w:p>
        </w:tc>
      </w:tr>
      <w:tr w:rsidR="00744284" w:rsidRPr="00744284" w:rsidTr="00744284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284" w:rsidRPr="00744284" w:rsidRDefault="00744284" w:rsidP="00505824">
            <w:pPr>
              <w:spacing w:before="120" w:line="240" w:lineRule="exact"/>
              <w:jc w:val="center"/>
              <w:rPr>
                <w:rFonts w:ascii="Times New Roman" w:hAnsi="Times New Roman" w:cs="Times New Roman"/>
              </w:rPr>
            </w:pPr>
            <w:r w:rsidRPr="00744284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284" w:rsidRPr="00744284" w:rsidRDefault="00744284" w:rsidP="00505824">
            <w:pPr>
              <w:spacing w:before="120" w:line="240" w:lineRule="exact"/>
              <w:jc w:val="both"/>
              <w:rPr>
                <w:rFonts w:ascii="Times New Roman" w:hAnsi="Times New Roman" w:cs="Times New Roman"/>
              </w:rPr>
            </w:pPr>
            <w:r w:rsidRPr="00744284">
              <w:rPr>
                <w:rFonts w:ascii="Times New Roman" w:hAnsi="Times New Roman" w:cs="Times New Roman"/>
              </w:rPr>
              <w:t>Выполнение плана мероприятий («дорожной карты») по снижению рисков нарушения антимонопольного законодательства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284" w:rsidRPr="00744284" w:rsidRDefault="00744284" w:rsidP="00505824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744284">
              <w:rPr>
                <w:rFonts w:ascii="Times New Roman" w:hAnsi="Times New Roman" w:cs="Times New Roman"/>
                <w:b/>
                <w:lang w:val="en-US"/>
              </w:rPr>
              <w:t>20</w:t>
            </w:r>
          </w:p>
        </w:tc>
      </w:tr>
      <w:tr w:rsidR="00744284" w:rsidRPr="00744284" w:rsidTr="00744284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284" w:rsidRPr="00744284" w:rsidRDefault="00744284" w:rsidP="00505824">
            <w:pPr>
              <w:spacing w:before="12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284" w:rsidRPr="00744284" w:rsidRDefault="00744284" w:rsidP="00505824">
            <w:pPr>
              <w:spacing w:before="120" w:line="240" w:lineRule="exact"/>
              <w:jc w:val="both"/>
              <w:rPr>
                <w:rFonts w:ascii="Times New Roman" w:hAnsi="Times New Roman" w:cs="Times New Roman"/>
              </w:rPr>
            </w:pPr>
            <w:r w:rsidRPr="00744284">
              <w:rPr>
                <w:rFonts w:ascii="Times New Roman" w:hAnsi="Times New Roman" w:cs="Times New Roman"/>
              </w:rPr>
              <w:t>Выполнены все мероприятия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284" w:rsidRPr="00744284" w:rsidRDefault="00744284" w:rsidP="00505824">
            <w:pPr>
              <w:spacing w:before="12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744284">
              <w:rPr>
                <w:rFonts w:ascii="Times New Roman" w:hAnsi="Times New Roman" w:cs="Times New Roman"/>
              </w:rPr>
              <w:t>20</w:t>
            </w:r>
          </w:p>
        </w:tc>
      </w:tr>
      <w:tr w:rsidR="00744284" w:rsidRPr="00744284" w:rsidTr="00744284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284" w:rsidRPr="00744284" w:rsidRDefault="00744284" w:rsidP="00505824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284" w:rsidRPr="00744284" w:rsidRDefault="00744284" w:rsidP="00505824">
            <w:pPr>
              <w:spacing w:before="120" w:line="240" w:lineRule="exact"/>
              <w:jc w:val="both"/>
              <w:rPr>
                <w:rFonts w:ascii="Times New Roman" w:hAnsi="Times New Roman" w:cs="Times New Roman"/>
                <w:b/>
              </w:rPr>
            </w:pPr>
            <w:r w:rsidRPr="00744284">
              <w:rPr>
                <w:rFonts w:ascii="Times New Roman" w:hAnsi="Times New Roman" w:cs="Times New Roman"/>
                <w:b/>
              </w:rPr>
              <w:t>ИТОГО:</w:t>
            </w: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                                        100</w:t>
            </w:r>
          </w:p>
        </w:tc>
      </w:tr>
    </w:tbl>
    <w:p w:rsidR="008F341B" w:rsidRPr="00DF566C" w:rsidRDefault="00DF566C" w:rsidP="00F80309">
      <w:pPr>
        <w:shd w:val="clear" w:color="auto" w:fill="FFFFFF"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66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ВЫВОДЫ:</w:t>
      </w:r>
    </w:p>
    <w:p w:rsidR="00ED3D49" w:rsidRPr="00CF1B5B" w:rsidRDefault="008F341B" w:rsidP="00282B1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CF1B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В настоящее время в </w:t>
      </w:r>
      <w:r w:rsidR="00471D8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</w:t>
      </w:r>
      <w:r w:rsidRPr="00CF1B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дминистрации </w:t>
      </w:r>
      <w:r w:rsidR="00F80309" w:rsidRPr="00CF1B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Сусуманского </w:t>
      </w:r>
      <w:r w:rsidR="00471D8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муниципального</w:t>
      </w:r>
      <w:r w:rsidRPr="00CF1B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округа</w:t>
      </w:r>
      <w:r w:rsidR="00471D8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Магаданской области</w:t>
      </w:r>
      <w:r w:rsidRPr="00CF1B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осуществлено </w:t>
      </w:r>
      <w:r w:rsidR="00DF566C" w:rsidRPr="00CF1B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внедрение системы</w:t>
      </w:r>
      <w:r w:rsidR="00A9444A" w:rsidRPr="00CF1B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F1B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внутреннего обеспечения </w:t>
      </w:r>
      <w:r w:rsidR="00DF566C" w:rsidRPr="00CF1B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соответствия требованиям</w:t>
      </w:r>
      <w:r w:rsidRPr="00CF1B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антимонопольного законодательства</w:t>
      </w:r>
      <w:r w:rsidR="00282B1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в полном объеме</w:t>
      </w:r>
      <w:r w:rsidRPr="00CF1B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8F341B" w:rsidRPr="00CF1B5B" w:rsidRDefault="008F341B" w:rsidP="00282B1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B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 xml:space="preserve">Разработаны нормативные акты </w:t>
      </w:r>
      <w:r w:rsidR="00CE6877" w:rsidRPr="00CF1B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</w:t>
      </w:r>
      <w:r w:rsidRPr="00CF1B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дминистрации в сфере антимонопольного комплаенса, создан раздел «Антимонопольный комплаенс» на официальном сайте </w:t>
      </w:r>
      <w:r w:rsidR="00DF566C" w:rsidRPr="00CF1B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муниципального образования «Сусуманский </w:t>
      </w:r>
      <w:r w:rsidR="004D367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муниципальный</w:t>
      </w:r>
      <w:r w:rsidR="00DF566C" w:rsidRPr="00CF1B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округ</w:t>
      </w:r>
      <w:r w:rsidR="004D367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Магаданской области</w:t>
      </w:r>
      <w:r w:rsidR="00DF566C" w:rsidRPr="00CF1B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»</w:t>
      </w:r>
      <w:r w:rsidRPr="00CF1B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DF566C" w:rsidRPr="00CF1B5B" w:rsidRDefault="008F341B" w:rsidP="00282B1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CF1B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Урегулировано взаимодействие структурных подразделений по вопросам нарушения </w:t>
      </w:r>
      <w:r w:rsidR="00DF566C" w:rsidRPr="00CF1B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антимонопольного законодательства</w:t>
      </w:r>
      <w:r w:rsidRPr="00CF1B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и антимонопольного комплаенса.</w:t>
      </w:r>
    </w:p>
    <w:p w:rsidR="00DF566C" w:rsidRPr="00CF1B5B" w:rsidRDefault="005B0244" w:rsidP="00282B1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F1B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</w:t>
      </w:r>
      <w:r w:rsidR="00DF566C" w:rsidRPr="00CF1B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уководител</w:t>
      </w:r>
      <w:r w:rsidRPr="00CF1B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и </w:t>
      </w:r>
      <w:r w:rsidR="00DF566C" w:rsidRPr="00CF1B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структурных подразделений администрации Сусуманского </w:t>
      </w:r>
      <w:r w:rsidR="00471D8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муниципального</w:t>
      </w:r>
      <w:r w:rsidR="00DF566C" w:rsidRPr="00CF1B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округа</w:t>
      </w:r>
      <w:r w:rsidR="008F341B" w:rsidRPr="00CF1B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471D8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Магаданской области </w:t>
      </w:r>
      <w:r w:rsidRPr="00CF1B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ознакомлены с нормативными документами, рег</w:t>
      </w:r>
      <w:r w:rsidR="00606246" w:rsidRPr="00CF1B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ламентиру</w:t>
      </w:r>
      <w:r w:rsidRPr="00CF1B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ющими организацию системы внутреннего обеспечения соответствия требованиям антимонопольного законодательства</w:t>
      </w:r>
      <w:r w:rsidR="00DF566C" w:rsidRPr="00CF1B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</w:t>
      </w:r>
      <w:r w:rsidR="00DF566C" w:rsidRPr="00CF1B5B">
        <w:rPr>
          <w:rFonts w:ascii="Times New Roman" w:hAnsi="Times New Roman" w:cs="Times New Roman"/>
          <w:sz w:val="24"/>
          <w:szCs w:val="24"/>
        </w:rPr>
        <w:t xml:space="preserve"> а </w:t>
      </w:r>
      <w:r w:rsidRPr="00CF1B5B">
        <w:rPr>
          <w:rFonts w:ascii="Times New Roman" w:hAnsi="Times New Roman" w:cs="Times New Roman"/>
          <w:sz w:val="24"/>
          <w:szCs w:val="24"/>
        </w:rPr>
        <w:t>также</w:t>
      </w:r>
      <w:r w:rsidR="00DF566C" w:rsidRPr="00CF1B5B">
        <w:rPr>
          <w:rFonts w:ascii="Times New Roman" w:hAnsi="Times New Roman" w:cs="Times New Roman"/>
          <w:sz w:val="24"/>
          <w:szCs w:val="24"/>
        </w:rPr>
        <w:t xml:space="preserve"> с совокупностью правовых и организационных мер, направленных на соблюдение требований антимонопольного законодательства и предупреждение его нарушений.</w:t>
      </w:r>
    </w:p>
    <w:p w:rsidR="003D5CAF" w:rsidRPr="00CF1B5B" w:rsidRDefault="008F341B" w:rsidP="00282B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CF1B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Проведена оценка рисков нарушения антимонопольного законодательства, по результатам которой составлена </w:t>
      </w:r>
      <w:r w:rsidR="00DF566C" w:rsidRPr="00CF1B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карта комплаенс-рисков</w:t>
      </w:r>
      <w:r w:rsidRPr="00CF1B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  <w:r w:rsidR="005661F0" w:rsidRPr="00CF1B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282B16" w:rsidRDefault="00282B16" w:rsidP="00282B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CF1B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 целях снижения рисков нарушения антимонопольного законодательства разработан План мероприятий («дорожная карта») по снижению рисков нарушения антимонопольного законодательства в администрации Сусуманского городского округа.</w:t>
      </w:r>
    </w:p>
    <w:p w:rsidR="005661F0" w:rsidRPr="00CF1B5B" w:rsidRDefault="003E31D7" w:rsidP="00282B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CF1B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Осуществлена оценка достижения ключевых показателей эффективности </w:t>
      </w:r>
      <w:r w:rsidRPr="00CF1B5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функционирования антимонопольного комплаенса в администрации</w:t>
      </w:r>
      <w:r w:rsidR="00282B1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Сусуманского </w:t>
      </w:r>
      <w:r w:rsidR="00471D8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муниципального </w:t>
      </w:r>
      <w:r w:rsidR="00282B1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округа</w:t>
      </w:r>
      <w:r w:rsidR="00471D8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Магаданской области</w:t>
      </w:r>
      <w:r w:rsidR="00282B1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, по результатам которой </w:t>
      </w:r>
      <w:r w:rsidR="00282B16" w:rsidRPr="00383348">
        <w:rPr>
          <w:rFonts w:ascii="Times New Roman" w:hAnsi="Times New Roman" w:cs="Times New Roman"/>
          <w:sz w:val="24"/>
          <w:szCs w:val="24"/>
        </w:rPr>
        <w:t>итоговый показатель оценивается как высокий</w:t>
      </w:r>
      <w:r w:rsidR="00282B16">
        <w:rPr>
          <w:rFonts w:ascii="Times New Roman" w:hAnsi="Times New Roman" w:cs="Times New Roman"/>
          <w:sz w:val="24"/>
          <w:szCs w:val="24"/>
        </w:rPr>
        <w:t>,</w:t>
      </w:r>
      <w:r w:rsidR="00282B1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все ключевые показатели достигнуты. </w:t>
      </w:r>
    </w:p>
    <w:p w:rsidR="0032637F" w:rsidRDefault="0032637F" w:rsidP="00DF56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471D84" w:rsidRDefault="00471D84" w:rsidP="002320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1D84" w:rsidRDefault="00471D84" w:rsidP="002320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1D84" w:rsidRDefault="00471D84" w:rsidP="002320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471D84" w:rsidSect="00471D84">
      <w:pgSz w:w="11906" w:h="16838"/>
      <w:pgMar w:top="851" w:right="141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DAC"/>
    <w:rsid w:val="00010AA9"/>
    <w:rsid w:val="00031BF3"/>
    <w:rsid w:val="00036779"/>
    <w:rsid w:val="00096E9A"/>
    <w:rsid w:val="000A7D43"/>
    <w:rsid w:val="000B5C9C"/>
    <w:rsid w:val="000F7CE0"/>
    <w:rsid w:val="00104778"/>
    <w:rsid w:val="001350DB"/>
    <w:rsid w:val="001A28D1"/>
    <w:rsid w:val="001F4610"/>
    <w:rsid w:val="00204B26"/>
    <w:rsid w:val="00211C32"/>
    <w:rsid w:val="0021327E"/>
    <w:rsid w:val="002320BF"/>
    <w:rsid w:val="00282B16"/>
    <w:rsid w:val="0032637F"/>
    <w:rsid w:val="00357855"/>
    <w:rsid w:val="003675B5"/>
    <w:rsid w:val="00383348"/>
    <w:rsid w:val="003D5CAF"/>
    <w:rsid w:val="003E31D7"/>
    <w:rsid w:val="00471D84"/>
    <w:rsid w:val="00495FEA"/>
    <w:rsid w:val="004D3678"/>
    <w:rsid w:val="004F1127"/>
    <w:rsid w:val="005026C8"/>
    <w:rsid w:val="005324C6"/>
    <w:rsid w:val="005661F0"/>
    <w:rsid w:val="00581B4A"/>
    <w:rsid w:val="005B0244"/>
    <w:rsid w:val="005C1DAC"/>
    <w:rsid w:val="00600961"/>
    <w:rsid w:val="00606246"/>
    <w:rsid w:val="006974F8"/>
    <w:rsid w:val="00741ED9"/>
    <w:rsid w:val="00744284"/>
    <w:rsid w:val="007B513B"/>
    <w:rsid w:val="008C7BDF"/>
    <w:rsid w:val="008F341B"/>
    <w:rsid w:val="00971345"/>
    <w:rsid w:val="009F5FF6"/>
    <w:rsid w:val="00A7207F"/>
    <w:rsid w:val="00A9444A"/>
    <w:rsid w:val="00AB2578"/>
    <w:rsid w:val="00AC2775"/>
    <w:rsid w:val="00B554D5"/>
    <w:rsid w:val="00B659F5"/>
    <w:rsid w:val="00B8081E"/>
    <w:rsid w:val="00B873CF"/>
    <w:rsid w:val="00BB2B5A"/>
    <w:rsid w:val="00BF3B1B"/>
    <w:rsid w:val="00C470D6"/>
    <w:rsid w:val="00C76F03"/>
    <w:rsid w:val="00CA3684"/>
    <w:rsid w:val="00CA5968"/>
    <w:rsid w:val="00CD5F12"/>
    <w:rsid w:val="00CE6877"/>
    <w:rsid w:val="00CF1B5B"/>
    <w:rsid w:val="00D46025"/>
    <w:rsid w:val="00D56F56"/>
    <w:rsid w:val="00D77707"/>
    <w:rsid w:val="00DD78C2"/>
    <w:rsid w:val="00DF566C"/>
    <w:rsid w:val="00E37FF0"/>
    <w:rsid w:val="00E66B7C"/>
    <w:rsid w:val="00ED3D49"/>
    <w:rsid w:val="00F46260"/>
    <w:rsid w:val="00F80309"/>
    <w:rsid w:val="00F838A6"/>
    <w:rsid w:val="00FA646D"/>
    <w:rsid w:val="00FB6663"/>
    <w:rsid w:val="00FF4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1ED9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41ED9"/>
    <w:rPr>
      <w:rFonts w:ascii="Calibri" w:hAnsi="Calibri"/>
      <w:sz w:val="18"/>
      <w:szCs w:val="18"/>
    </w:rPr>
  </w:style>
  <w:style w:type="table" w:customStyle="1" w:styleId="3">
    <w:name w:val="Сетка таблицы3"/>
    <w:basedOn w:val="a1"/>
    <w:uiPriority w:val="59"/>
    <w:rsid w:val="007442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1ED9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41ED9"/>
    <w:rPr>
      <w:rFonts w:ascii="Calibri" w:hAnsi="Calibri"/>
      <w:sz w:val="18"/>
      <w:szCs w:val="18"/>
    </w:rPr>
  </w:style>
  <w:style w:type="table" w:customStyle="1" w:styleId="3">
    <w:name w:val="Сетка таблицы3"/>
    <w:basedOn w:val="a1"/>
    <w:uiPriority w:val="59"/>
    <w:rsid w:val="007442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2466</Words>
  <Characters>14062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Гудз</cp:lastModifiedBy>
  <cp:revision>3</cp:revision>
  <cp:lastPrinted>2021-01-18T23:50:00Z</cp:lastPrinted>
  <dcterms:created xsi:type="dcterms:W3CDTF">2024-02-20T03:41:00Z</dcterms:created>
  <dcterms:modified xsi:type="dcterms:W3CDTF">2024-02-20T03:44:00Z</dcterms:modified>
</cp:coreProperties>
</file>