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09" w:rsidRPr="00351A86" w:rsidRDefault="00D61083">
      <w:pPr>
        <w:jc w:val="center"/>
        <w:rPr>
          <w:b/>
          <w:sz w:val="36"/>
          <w:szCs w:val="36"/>
        </w:rPr>
      </w:pPr>
      <w:r w:rsidRPr="00351A86">
        <w:rPr>
          <w:b/>
          <w:sz w:val="36"/>
          <w:szCs w:val="36"/>
        </w:rPr>
        <w:t xml:space="preserve">АДМИНИСТРАЦИЯ  </w:t>
      </w:r>
    </w:p>
    <w:p w:rsidR="00166309" w:rsidRPr="00351A86" w:rsidRDefault="00D61083">
      <w:pPr>
        <w:jc w:val="center"/>
        <w:rPr>
          <w:b/>
          <w:sz w:val="36"/>
          <w:szCs w:val="36"/>
        </w:rPr>
      </w:pPr>
      <w:r w:rsidRPr="00351A86">
        <w:rPr>
          <w:b/>
          <w:sz w:val="36"/>
          <w:szCs w:val="36"/>
        </w:rPr>
        <w:t>СУСУМАНСКОГО МУНИЦИПАЛЬНОГО  ОКРУГА</w:t>
      </w:r>
    </w:p>
    <w:p w:rsidR="00166309" w:rsidRPr="00351A86" w:rsidRDefault="00D61083">
      <w:pPr>
        <w:ind w:left="-600"/>
        <w:jc w:val="center"/>
        <w:rPr>
          <w:b/>
          <w:sz w:val="36"/>
          <w:szCs w:val="36"/>
        </w:rPr>
      </w:pPr>
      <w:r w:rsidRPr="00351A86">
        <w:rPr>
          <w:b/>
          <w:sz w:val="36"/>
          <w:szCs w:val="36"/>
        </w:rPr>
        <w:t>МАГАДАНСКОЙ ОБЛАСТИ</w:t>
      </w:r>
    </w:p>
    <w:p w:rsidR="00166309" w:rsidRDefault="00166309">
      <w:pPr>
        <w:ind w:left="-600"/>
        <w:rPr>
          <w:b/>
          <w:sz w:val="32"/>
          <w:szCs w:val="32"/>
        </w:rPr>
      </w:pPr>
    </w:p>
    <w:p w:rsidR="00166309" w:rsidRDefault="00D61083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p w:rsidR="00166309" w:rsidRDefault="00166309">
      <w:pPr>
        <w:pStyle w:val="aa"/>
        <w:jc w:val="left"/>
        <w:rPr>
          <w:b w:val="0"/>
          <w:sz w:val="24"/>
          <w:szCs w:val="24"/>
        </w:rPr>
      </w:pPr>
    </w:p>
    <w:p w:rsidR="00166309" w:rsidRDefault="00351A86">
      <w:r>
        <w:rPr>
          <w:sz w:val="24"/>
          <w:szCs w:val="24"/>
        </w:rPr>
        <w:t>От  02.05</w:t>
      </w:r>
      <w:r w:rsidR="00D61083">
        <w:rPr>
          <w:sz w:val="24"/>
          <w:szCs w:val="24"/>
        </w:rPr>
        <w:t xml:space="preserve">.2024 г.                                   </w:t>
      </w:r>
      <w:r>
        <w:rPr>
          <w:sz w:val="24"/>
          <w:szCs w:val="24"/>
        </w:rPr>
        <w:t xml:space="preserve">    </w:t>
      </w:r>
      <w:r w:rsidR="00D61083">
        <w:rPr>
          <w:sz w:val="24"/>
          <w:szCs w:val="24"/>
        </w:rPr>
        <w:t>№</w:t>
      </w:r>
      <w:r w:rsidR="00D61083">
        <w:rPr>
          <w:rFonts w:ascii="Academy" w:hAnsi="Academy"/>
          <w:sz w:val="24"/>
          <w:szCs w:val="24"/>
        </w:rPr>
        <w:t xml:space="preserve"> </w:t>
      </w:r>
      <w:r w:rsidR="00D61083">
        <w:rPr>
          <w:sz w:val="24"/>
          <w:szCs w:val="24"/>
        </w:rPr>
        <w:t xml:space="preserve">  </w:t>
      </w:r>
      <w:r>
        <w:rPr>
          <w:sz w:val="24"/>
          <w:szCs w:val="24"/>
        </w:rPr>
        <w:t>189</w:t>
      </w:r>
    </w:p>
    <w:p w:rsidR="00166309" w:rsidRDefault="00D61083">
      <w:pPr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166309" w:rsidRDefault="00166309">
      <w:pPr>
        <w:rPr>
          <w:sz w:val="24"/>
          <w:szCs w:val="24"/>
        </w:rPr>
      </w:pPr>
    </w:p>
    <w:p w:rsidR="00351A86" w:rsidRDefault="00351A86">
      <w:pPr>
        <w:rPr>
          <w:sz w:val="24"/>
          <w:szCs w:val="24"/>
        </w:rPr>
      </w:pPr>
    </w:p>
    <w:p w:rsidR="00166309" w:rsidRDefault="00D61083" w:rsidP="00D61083">
      <w:pPr>
        <w:ind w:right="4110"/>
        <w:rPr>
          <w:sz w:val="24"/>
          <w:szCs w:val="22"/>
        </w:rPr>
      </w:pPr>
      <w:r>
        <w:rPr>
          <w:sz w:val="24"/>
          <w:szCs w:val="24"/>
        </w:rPr>
        <w:t>Об утверждении Положения о К</w:t>
      </w:r>
      <w:r>
        <w:rPr>
          <w:sz w:val="24"/>
          <w:szCs w:val="22"/>
        </w:rPr>
        <w:t>омиссии по предупреждению и ликвидации</w:t>
      </w:r>
      <w:r>
        <w:t xml:space="preserve"> </w:t>
      </w:r>
      <w:r>
        <w:rPr>
          <w:sz w:val="24"/>
          <w:szCs w:val="22"/>
        </w:rPr>
        <w:t xml:space="preserve">чрезвычайных ситуаций и обеспечению пожарной  безопасности </w:t>
      </w:r>
      <w:r>
        <w:rPr>
          <w:sz w:val="24"/>
          <w:szCs w:val="24"/>
        </w:rPr>
        <w:t>Сусуманского муниципального округа Магаданской области</w:t>
      </w:r>
    </w:p>
    <w:p w:rsidR="00166309" w:rsidRDefault="00166309">
      <w:pPr>
        <w:jc w:val="both"/>
        <w:rPr>
          <w:sz w:val="24"/>
          <w:szCs w:val="24"/>
        </w:rPr>
      </w:pPr>
    </w:p>
    <w:p w:rsidR="00166309" w:rsidRDefault="00166309">
      <w:pPr>
        <w:jc w:val="both"/>
        <w:rPr>
          <w:sz w:val="24"/>
          <w:szCs w:val="24"/>
        </w:rPr>
      </w:pPr>
    </w:p>
    <w:p w:rsidR="00166309" w:rsidRDefault="00D61083" w:rsidP="00D61083">
      <w:pPr>
        <w:widowControl w:val="0"/>
        <w:ind w:right="-108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Федеральными законами от 21 декабря 1994 № 68-ФЗ «О защите </w:t>
      </w:r>
      <w:proofErr w:type="gramStart"/>
      <w:r>
        <w:rPr>
          <w:sz w:val="24"/>
          <w:szCs w:val="24"/>
        </w:rPr>
        <w:t>населения и территорий от чрезвычайных ситуаций природного и техногенного характера»,  от 06 октября 2003  № 131 «Об общих принципах организации местного самоуправления в Российской Федерации», Постановлением Правительства РФ от 30 декабря 2003 г. № 794 «О единой государственной системе предупреждения и ликвидации чрезвычайных ситуаций», Законом Магаданской области от 14.03.2022 № 2683-ОЗ «О преобразовании муниципального образования «Сусуманский городской округ» в связи с наделением его</w:t>
      </w:r>
      <w:proofErr w:type="gramEnd"/>
      <w:r>
        <w:rPr>
          <w:sz w:val="24"/>
          <w:szCs w:val="24"/>
        </w:rPr>
        <w:t xml:space="preserve"> статусом  муниципального округа»</w:t>
      </w:r>
      <w:r>
        <w:rPr>
          <w:color w:val="000000"/>
          <w:sz w:val="24"/>
          <w:szCs w:val="24"/>
        </w:rPr>
        <w:t xml:space="preserve"> Администрация Сусуманского муниципального округа Магаданской области</w:t>
      </w:r>
    </w:p>
    <w:p w:rsidR="00166309" w:rsidRDefault="00166309" w:rsidP="00D61083">
      <w:pPr>
        <w:widowControl w:val="0"/>
        <w:ind w:right="-108" w:firstLine="567"/>
        <w:jc w:val="both"/>
        <w:rPr>
          <w:color w:val="000000"/>
          <w:sz w:val="24"/>
          <w:szCs w:val="24"/>
        </w:rPr>
      </w:pPr>
    </w:p>
    <w:p w:rsidR="00166309" w:rsidRDefault="00D61083" w:rsidP="00351A86">
      <w:pPr>
        <w:widowControl w:val="0"/>
        <w:ind w:right="-108"/>
        <w:jc w:val="both"/>
      </w:pPr>
      <w:r>
        <w:rPr>
          <w:color w:val="000000"/>
          <w:sz w:val="24"/>
          <w:szCs w:val="24"/>
        </w:rPr>
        <w:t xml:space="preserve">ПОСТАНОВЛЯЕТ: </w:t>
      </w:r>
    </w:p>
    <w:p w:rsidR="00166309" w:rsidRDefault="00166309" w:rsidP="00D61083">
      <w:pPr>
        <w:ind w:firstLine="567"/>
        <w:jc w:val="both"/>
        <w:rPr>
          <w:sz w:val="24"/>
          <w:szCs w:val="24"/>
        </w:rPr>
      </w:pPr>
    </w:p>
    <w:p w:rsidR="00166309" w:rsidRPr="00D61083" w:rsidRDefault="00D61083" w:rsidP="00D610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61083">
        <w:rPr>
          <w:sz w:val="24"/>
          <w:szCs w:val="24"/>
        </w:rPr>
        <w:t xml:space="preserve">Утвердить Положение о Комиссии </w:t>
      </w:r>
      <w:r w:rsidRPr="00D61083">
        <w:rPr>
          <w:sz w:val="24"/>
          <w:szCs w:val="22"/>
        </w:rPr>
        <w:t xml:space="preserve">по предупреждению и ликвидации  чрезвычайных ситуаций и обеспечению пожарной безопасности </w:t>
      </w:r>
      <w:r w:rsidRPr="00D61083">
        <w:rPr>
          <w:sz w:val="24"/>
          <w:szCs w:val="24"/>
        </w:rPr>
        <w:t>Сусуманского муниципального округа Магаданской области согласно приложению.</w:t>
      </w:r>
    </w:p>
    <w:p w:rsidR="00166309" w:rsidRDefault="00D61083" w:rsidP="00D61083">
      <w:pPr>
        <w:ind w:firstLine="567"/>
        <w:jc w:val="both"/>
      </w:pPr>
      <w:r>
        <w:rPr>
          <w:sz w:val="24"/>
          <w:szCs w:val="24"/>
        </w:rPr>
        <w:t>2. С</w:t>
      </w:r>
      <w:r w:rsidRPr="00D61083">
        <w:rPr>
          <w:sz w:val="24"/>
          <w:szCs w:val="24"/>
        </w:rPr>
        <w:t xml:space="preserve">читать утратившим силу </w:t>
      </w:r>
      <w:r>
        <w:rPr>
          <w:sz w:val="24"/>
          <w:szCs w:val="24"/>
        </w:rPr>
        <w:t>п</w:t>
      </w:r>
      <w:r w:rsidRPr="00D61083">
        <w:rPr>
          <w:sz w:val="24"/>
          <w:szCs w:val="24"/>
        </w:rPr>
        <w:t>остановление администрации Сусуманского городского округа от 19.07.2021 № 287 «</w:t>
      </w:r>
      <w:r w:rsidRPr="00D61083">
        <w:rPr>
          <w:sz w:val="24"/>
          <w:szCs w:val="22"/>
        </w:rPr>
        <w:t>Об утверждении Положения о Комиссии по предупреждению и ликвидации чрезвычайных ситуаций и обеспечению пожарной безопасности Сусуманского городского округа</w:t>
      </w:r>
      <w:r w:rsidRPr="00D61083">
        <w:rPr>
          <w:sz w:val="24"/>
          <w:szCs w:val="24"/>
        </w:rPr>
        <w:t>».</w:t>
      </w:r>
    </w:p>
    <w:p w:rsidR="00166309" w:rsidRDefault="00D61083" w:rsidP="00D61083">
      <w:pPr>
        <w:ind w:firstLine="567"/>
        <w:jc w:val="both"/>
      </w:pPr>
      <w:r>
        <w:rPr>
          <w:rFonts w:eastAsia="Calibri"/>
          <w:sz w:val="24"/>
          <w:szCs w:val="24"/>
        </w:rPr>
        <w:t xml:space="preserve">3. </w:t>
      </w:r>
      <w:r w:rsidRPr="00D61083">
        <w:rPr>
          <w:rFonts w:eastAsia="Calibri"/>
          <w:sz w:val="24"/>
          <w:szCs w:val="24"/>
        </w:rPr>
        <w:t>Настоящее постановление подлежит опубликованию в районной газете «Горняк Севера» и размещению на официальном сайте Администрации Сусуманского  муниципального округа Магаданской области.</w:t>
      </w:r>
    </w:p>
    <w:p w:rsidR="00166309" w:rsidRDefault="00166309" w:rsidP="00D61083">
      <w:pPr>
        <w:tabs>
          <w:tab w:val="left" w:pos="426"/>
        </w:tabs>
        <w:ind w:firstLine="567"/>
        <w:jc w:val="both"/>
        <w:rPr>
          <w:rFonts w:eastAsia="Calibri"/>
          <w:sz w:val="24"/>
          <w:szCs w:val="24"/>
        </w:rPr>
      </w:pPr>
    </w:p>
    <w:p w:rsidR="00166309" w:rsidRDefault="00166309" w:rsidP="00D61083">
      <w:pPr>
        <w:tabs>
          <w:tab w:val="left" w:pos="426"/>
        </w:tabs>
        <w:ind w:firstLine="567"/>
        <w:jc w:val="both"/>
        <w:rPr>
          <w:rFonts w:eastAsia="Calibri"/>
          <w:sz w:val="24"/>
          <w:szCs w:val="24"/>
        </w:rPr>
      </w:pPr>
    </w:p>
    <w:p w:rsidR="00166309" w:rsidRDefault="00166309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</w:p>
    <w:p w:rsidR="00D61083" w:rsidRDefault="00D61083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Глава Сусуманского муниципального округа</w:t>
      </w:r>
    </w:p>
    <w:p w:rsidR="00166309" w:rsidRDefault="00D61083">
      <w:pPr>
        <w:tabs>
          <w:tab w:val="left" w:pos="426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Магаданской области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И.Н. Пряников</w:t>
      </w:r>
    </w:p>
    <w:p w:rsidR="00166309" w:rsidRDefault="00166309">
      <w:pPr>
        <w:widowControl w:val="0"/>
        <w:tabs>
          <w:tab w:val="left" w:pos="6521"/>
          <w:tab w:val="left" w:pos="6804"/>
        </w:tabs>
        <w:ind w:right="-1" w:firstLine="748"/>
        <w:rPr>
          <w:sz w:val="20"/>
        </w:rPr>
      </w:pPr>
    </w:p>
    <w:p w:rsidR="00166309" w:rsidRDefault="00166309">
      <w:pPr>
        <w:widowControl w:val="0"/>
        <w:tabs>
          <w:tab w:val="left" w:pos="6521"/>
          <w:tab w:val="left" w:pos="6804"/>
        </w:tabs>
        <w:ind w:right="-1" w:firstLine="748"/>
        <w:rPr>
          <w:sz w:val="20"/>
        </w:rPr>
      </w:pPr>
    </w:p>
    <w:p w:rsidR="00166309" w:rsidRDefault="00166309">
      <w:pPr>
        <w:widowControl w:val="0"/>
        <w:tabs>
          <w:tab w:val="left" w:pos="6521"/>
          <w:tab w:val="left" w:pos="6804"/>
        </w:tabs>
        <w:ind w:right="-1" w:firstLine="748"/>
        <w:rPr>
          <w:sz w:val="20"/>
        </w:rPr>
      </w:pPr>
    </w:p>
    <w:p w:rsidR="00166309" w:rsidRDefault="00166309">
      <w:pPr>
        <w:widowControl w:val="0"/>
        <w:tabs>
          <w:tab w:val="left" w:pos="6521"/>
          <w:tab w:val="left" w:pos="6804"/>
        </w:tabs>
        <w:ind w:right="-1" w:firstLine="748"/>
        <w:rPr>
          <w:sz w:val="20"/>
        </w:rPr>
      </w:pPr>
    </w:p>
    <w:p w:rsidR="00166309" w:rsidRDefault="00166309">
      <w:pPr>
        <w:widowControl w:val="0"/>
        <w:tabs>
          <w:tab w:val="left" w:pos="6521"/>
          <w:tab w:val="left" w:pos="6804"/>
        </w:tabs>
        <w:ind w:right="-1" w:firstLine="748"/>
        <w:rPr>
          <w:sz w:val="20"/>
        </w:rPr>
      </w:pPr>
    </w:p>
    <w:p w:rsidR="00166309" w:rsidRDefault="00166309">
      <w:pPr>
        <w:widowControl w:val="0"/>
        <w:tabs>
          <w:tab w:val="left" w:pos="6521"/>
          <w:tab w:val="left" w:pos="6804"/>
        </w:tabs>
        <w:ind w:right="-1" w:firstLine="748"/>
        <w:rPr>
          <w:sz w:val="20"/>
        </w:rPr>
      </w:pPr>
    </w:p>
    <w:p w:rsidR="00166309" w:rsidRDefault="00166309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/>
          <w:bCs/>
          <w:sz w:val="20"/>
        </w:rPr>
      </w:pPr>
    </w:p>
    <w:p w:rsidR="00BC5826" w:rsidRDefault="00BC5826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/>
          <w:bCs/>
          <w:sz w:val="20"/>
        </w:rPr>
      </w:pPr>
    </w:p>
    <w:p w:rsidR="00BC5826" w:rsidRDefault="00BC5826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/>
          <w:bCs/>
          <w:sz w:val="20"/>
        </w:rPr>
      </w:pPr>
    </w:p>
    <w:p w:rsidR="00BC5826" w:rsidRDefault="00BC5826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/>
          <w:bCs/>
          <w:sz w:val="20"/>
        </w:rPr>
      </w:pPr>
    </w:p>
    <w:p w:rsidR="00BC5826" w:rsidRDefault="00BC5826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/>
          <w:bCs/>
          <w:sz w:val="20"/>
        </w:rPr>
      </w:pPr>
    </w:p>
    <w:p w:rsidR="00BC5826" w:rsidRDefault="00BC5826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/>
          <w:bCs/>
          <w:sz w:val="20"/>
        </w:rPr>
      </w:pPr>
    </w:p>
    <w:p w:rsidR="00BC5826" w:rsidRDefault="00BC5826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/>
          <w:bCs/>
          <w:sz w:val="20"/>
        </w:rPr>
      </w:pPr>
    </w:p>
    <w:p w:rsidR="00BC5826" w:rsidRPr="00042D4D" w:rsidRDefault="00BC5826" w:rsidP="00BC5826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Cs/>
          <w:sz w:val="20"/>
        </w:rPr>
      </w:pPr>
      <w:r w:rsidRPr="00042D4D">
        <w:rPr>
          <w:bCs/>
          <w:sz w:val="20"/>
        </w:rPr>
        <w:t>Приложение</w:t>
      </w:r>
    </w:p>
    <w:p w:rsidR="00BC5826" w:rsidRDefault="00BC5826" w:rsidP="00BC5826">
      <w:pPr>
        <w:widowControl w:val="0"/>
        <w:tabs>
          <w:tab w:val="left" w:pos="6521"/>
          <w:tab w:val="left" w:pos="6804"/>
        </w:tabs>
        <w:ind w:right="-1" w:firstLine="748"/>
        <w:jc w:val="right"/>
      </w:pPr>
    </w:p>
    <w:p w:rsidR="00BC5826" w:rsidRDefault="00BC5826" w:rsidP="00BC5826">
      <w:pPr>
        <w:widowControl w:val="0"/>
        <w:tabs>
          <w:tab w:val="left" w:pos="4962"/>
        </w:tabs>
        <w:jc w:val="right"/>
      </w:pPr>
      <w:r>
        <w:rPr>
          <w:sz w:val="20"/>
        </w:rPr>
        <w:tab/>
        <w:t xml:space="preserve">Утверждено постановлением Администрации </w:t>
      </w:r>
      <w:r>
        <w:rPr>
          <w:sz w:val="20"/>
        </w:rPr>
        <w:tab/>
        <w:t xml:space="preserve">Сусуманского </w:t>
      </w:r>
      <w:r>
        <w:rPr>
          <w:color w:val="000000"/>
          <w:sz w:val="20"/>
          <w:lang w:eastAsia="zh-CN"/>
        </w:rPr>
        <w:t xml:space="preserve">муниципального </w:t>
      </w:r>
      <w:r>
        <w:rPr>
          <w:sz w:val="20"/>
        </w:rPr>
        <w:t xml:space="preserve">округа </w:t>
      </w:r>
      <w:r>
        <w:rPr>
          <w:sz w:val="20"/>
        </w:rPr>
        <w:tab/>
      </w:r>
      <w:r w:rsidR="00351A86">
        <w:rPr>
          <w:sz w:val="20"/>
        </w:rPr>
        <w:t>Магаданской области от  02.05.2024 № 189</w:t>
      </w:r>
      <w:r>
        <w:rPr>
          <w:sz w:val="20"/>
        </w:rPr>
        <w:t xml:space="preserve">                </w:t>
      </w:r>
    </w:p>
    <w:p w:rsidR="00BC5826" w:rsidRDefault="00BC5826" w:rsidP="00BC5826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BC5826" w:rsidRDefault="00BC5826" w:rsidP="00BC5826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BC5826" w:rsidRDefault="00BC5826" w:rsidP="00BC5826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BC5826" w:rsidRPr="00042D4D" w:rsidRDefault="00BC5826" w:rsidP="00BC5826">
      <w:pPr>
        <w:pStyle w:val="ad"/>
        <w:jc w:val="center"/>
        <w:rPr>
          <w:b/>
          <w:bCs/>
        </w:rPr>
      </w:pPr>
      <w:r w:rsidRPr="00042D4D">
        <w:rPr>
          <w:b/>
          <w:bCs/>
        </w:rPr>
        <w:t>ПОЛОЖЕНИЕ</w:t>
      </w:r>
    </w:p>
    <w:p w:rsidR="00BC5826" w:rsidRPr="00042D4D" w:rsidRDefault="00BC5826" w:rsidP="00BC5826">
      <w:pPr>
        <w:pStyle w:val="ad"/>
        <w:jc w:val="center"/>
        <w:rPr>
          <w:b/>
        </w:rPr>
      </w:pPr>
      <w:r w:rsidRPr="00042D4D">
        <w:rPr>
          <w:b/>
        </w:rPr>
        <w:t xml:space="preserve">о комиссии по предупреждению и ликвидации </w:t>
      </w:r>
      <w:proofErr w:type="gramStart"/>
      <w:r w:rsidRPr="00042D4D">
        <w:rPr>
          <w:b/>
        </w:rPr>
        <w:t>чрезвычайных</w:t>
      </w:r>
      <w:proofErr w:type="gramEnd"/>
    </w:p>
    <w:p w:rsidR="00BC5826" w:rsidRPr="00042D4D" w:rsidRDefault="00BC5826" w:rsidP="00BC5826">
      <w:pPr>
        <w:pStyle w:val="ad"/>
        <w:jc w:val="center"/>
        <w:rPr>
          <w:b/>
        </w:rPr>
      </w:pPr>
      <w:r w:rsidRPr="00042D4D">
        <w:rPr>
          <w:b/>
        </w:rPr>
        <w:t xml:space="preserve">ситуаций и обеспечению пожарной безопасности Сусуманского </w:t>
      </w:r>
      <w:r w:rsidRPr="00042D4D">
        <w:rPr>
          <w:b/>
          <w:color w:val="000000"/>
        </w:rPr>
        <w:t xml:space="preserve">муниципального </w:t>
      </w:r>
      <w:r w:rsidRPr="00042D4D">
        <w:rPr>
          <w:b/>
        </w:rPr>
        <w:t>округа Магаданской области</w:t>
      </w:r>
    </w:p>
    <w:p w:rsidR="00BC5826" w:rsidRDefault="00BC5826" w:rsidP="00BC5826">
      <w:pPr>
        <w:pStyle w:val="ad"/>
        <w:jc w:val="center"/>
      </w:pPr>
    </w:p>
    <w:p w:rsidR="00BC5826" w:rsidRDefault="00BC5826" w:rsidP="00BC5826">
      <w:pPr>
        <w:pStyle w:val="ad"/>
        <w:rPr>
          <w:rFonts w:eastAsia="Calibri"/>
        </w:rPr>
      </w:pPr>
    </w:p>
    <w:p w:rsidR="00BC5826" w:rsidRPr="00042D4D" w:rsidRDefault="00BC5826" w:rsidP="00BC5826">
      <w:pPr>
        <w:pStyle w:val="ad"/>
        <w:jc w:val="center"/>
        <w:rPr>
          <w:b/>
          <w:bCs/>
        </w:rPr>
      </w:pPr>
      <w:r w:rsidRPr="00042D4D">
        <w:rPr>
          <w:b/>
          <w:bCs/>
        </w:rPr>
        <w:t>1. Общие положения</w:t>
      </w:r>
    </w:p>
    <w:p w:rsidR="00BC5826" w:rsidRDefault="00BC5826" w:rsidP="00BC5826">
      <w:pPr>
        <w:pStyle w:val="ad"/>
        <w:ind w:left="1069"/>
        <w:rPr>
          <w:b/>
        </w:rPr>
      </w:pPr>
    </w:p>
    <w:p w:rsidR="00BC5826" w:rsidRDefault="00BC5826" w:rsidP="00BC5826">
      <w:pPr>
        <w:pStyle w:val="ad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 Комиссия по предупреждению и ликвидации чрезвычайных ситуаций, обеспечению пожарной безопасности С</w:t>
      </w:r>
      <w:r>
        <w:rPr>
          <w:rFonts w:ascii="Liberation Serif" w:hAnsi="Liberation Serif"/>
          <w:color w:val="000000"/>
        </w:rPr>
        <w:t>усуманского муниципального округа Магаданской области</w:t>
      </w:r>
      <w:r w:rsidRPr="00972FF8">
        <w:rPr>
          <w:rStyle w:val="af2"/>
          <w:rFonts w:ascii="Liberation Serif" w:hAnsi="Liberation Serif"/>
          <w:bCs/>
          <w:color w:val="000000"/>
        </w:rPr>
        <w:footnoteReference w:id="1"/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</w:rPr>
        <w:t>является координационным органом Сусуманского муниципального звена территориальной подсистемы Магаданской области единой государственной системы предупреждения и ликвидации чрезвычайных ситуаций</w:t>
      </w:r>
      <w:r w:rsidRPr="00972FF8">
        <w:rPr>
          <w:rStyle w:val="af2"/>
          <w:rFonts w:ascii="Liberation Serif" w:hAnsi="Liberation Serif"/>
          <w:bCs/>
        </w:rPr>
        <w:footnoteReference w:id="2"/>
      </w:r>
      <w:r>
        <w:rPr>
          <w:rFonts w:ascii="Liberation Serif" w:hAnsi="Liberation Serif"/>
        </w:rPr>
        <w:t>.</w:t>
      </w:r>
    </w:p>
    <w:p w:rsidR="00BC5826" w:rsidRDefault="00BC5826" w:rsidP="00BC5826">
      <w:pPr>
        <w:pStyle w:val="ad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</w:rPr>
        <w:t xml:space="preserve">1.2. Комиссия </w:t>
      </w:r>
      <w:r>
        <w:rPr>
          <w:rFonts w:ascii="Liberation Serif" w:hAnsi="Liberation Serif"/>
          <w:color w:val="000000"/>
        </w:rPr>
        <w:t>является коллегиальным органом, объединяющим в своем составе должностных лиц Администрации Сусуманского муниципального округа Магаданской области</w:t>
      </w:r>
      <w:r w:rsidRPr="00972FF8">
        <w:rPr>
          <w:rStyle w:val="af2"/>
          <w:rFonts w:ascii="Liberation Serif" w:hAnsi="Liberation Serif"/>
          <w:bCs/>
          <w:color w:val="000000"/>
        </w:rPr>
        <w:footnoteReference w:id="3"/>
      </w:r>
      <w:r w:rsidRPr="00972FF8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и </w:t>
      </w:r>
      <w:r>
        <w:rPr>
          <w:color w:val="000000"/>
        </w:rPr>
        <w:t>руководителей предприятий,</w:t>
      </w:r>
      <w:r>
        <w:rPr>
          <w:rFonts w:ascii="Liberation Serif" w:hAnsi="Liberation Serif"/>
          <w:color w:val="000000"/>
        </w:rPr>
        <w:t xml:space="preserve"> учреждений и организаций, входящих в состав Сусуманского муниципального звена ТП РСЧС. </w:t>
      </w:r>
    </w:p>
    <w:p w:rsidR="00BC5826" w:rsidRDefault="00BC5826" w:rsidP="00BC5826">
      <w:pPr>
        <w:pStyle w:val="ad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1.3. Создание, реорганизация и упразднение Комиссии, определение ее компетенции, утверждение руководителей и персонального состава осуществляется Администрацией.</w:t>
      </w:r>
    </w:p>
    <w:p w:rsidR="00BC5826" w:rsidRDefault="00BC5826" w:rsidP="00BC5826">
      <w:pPr>
        <w:pStyle w:val="ad"/>
        <w:ind w:firstLine="709"/>
        <w:jc w:val="both"/>
      </w:pPr>
      <w:r>
        <w:t>1.4. Комиссия в своей деятельности руководствуется 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подзаконными нормативными актами Магаданской области, Уставом муниципального образования, иными нормативными правовыми актами Сусуманского муниципального округа Магаданской области, а также настоящим положением.</w:t>
      </w:r>
    </w:p>
    <w:p w:rsidR="00BC5826" w:rsidRDefault="00BC5826" w:rsidP="00BC5826">
      <w:pPr>
        <w:pStyle w:val="ad"/>
        <w:ind w:firstLine="709"/>
        <w:jc w:val="both"/>
      </w:pPr>
    </w:p>
    <w:p w:rsidR="00BC5826" w:rsidRPr="00042D4D" w:rsidRDefault="00BC5826" w:rsidP="00BC5826">
      <w:pPr>
        <w:pStyle w:val="ad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042D4D">
        <w:rPr>
          <w:b/>
          <w:bCs/>
        </w:rPr>
        <w:t>Основные задачи Комиссии</w:t>
      </w:r>
    </w:p>
    <w:p w:rsidR="00BC5826" w:rsidRDefault="00BC5826" w:rsidP="00BC5826">
      <w:pPr>
        <w:pStyle w:val="ad"/>
        <w:ind w:left="1069"/>
        <w:rPr>
          <w:b/>
        </w:rPr>
      </w:pPr>
    </w:p>
    <w:p w:rsidR="00BC5826" w:rsidRDefault="00BC5826" w:rsidP="00BC5826">
      <w:pPr>
        <w:pStyle w:val="ad"/>
        <w:ind w:firstLine="709"/>
        <w:jc w:val="both"/>
      </w:pPr>
      <w:r>
        <w:t>2.1. Основными задачами Комиссии являются:</w:t>
      </w:r>
    </w:p>
    <w:p w:rsidR="00BC5826" w:rsidRDefault="00BC5826" w:rsidP="00BC5826">
      <w:pPr>
        <w:pStyle w:val="ad"/>
        <w:ind w:firstLine="709"/>
        <w:jc w:val="both"/>
        <w:rPr>
          <w:rFonts w:ascii="Liberation Serif" w:eastAsia="Calibri" w:hAnsi="Liberation Serif"/>
        </w:rPr>
      </w:pPr>
      <w:r>
        <w:rPr>
          <w:rFonts w:eastAsia="Calibri"/>
        </w:rPr>
        <w:t xml:space="preserve">-   </w:t>
      </w:r>
      <w:r>
        <w:rPr>
          <w:rFonts w:ascii="Liberation Serif" w:eastAsia="Calibri" w:hAnsi="Liberation Serif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BC5826" w:rsidRDefault="00BC5826" w:rsidP="00BC5826">
      <w:pPr>
        <w:pStyle w:val="ad"/>
        <w:ind w:firstLine="709"/>
        <w:jc w:val="both"/>
      </w:pPr>
      <w:r>
        <w:t>-   обеспечение согласованности действий органов управления и сил  Сусуманского муниципального звена ТП РСЧС при решении задач в области предупреждения и ликвидации чрезвычайных ситуаций и обеспечения пожарной безопасности;</w:t>
      </w:r>
    </w:p>
    <w:p w:rsidR="00BC5826" w:rsidRDefault="00BC5826" w:rsidP="00BC5826">
      <w:pPr>
        <w:pStyle w:val="ad"/>
        <w:ind w:firstLine="709"/>
        <w:jc w:val="both"/>
      </w:pPr>
      <w:r>
        <w:t>- организация планирования и контроль выполнения мероприятий по предупреждению и ликвидации чрезвычайных ситуаций и обеспечению пожарной безопасности;</w:t>
      </w:r>
    </w:p>
    <w:p w:rsidR="00BC5826" w:rsidRPr="007940E5" w:rsidRDefault="00BC5826" w:rsidP="00BC5826">
      <w:pPr>
        <w:pStyle w:val="ad"/>
        <w:ind w:firstLine="709"/>
        <w:jc w:val="both"/>
      </w:pPr>
      <w:r w:rsidRPr="007940E5">
        <w:t xml:space="preserve">-  </w:t>
      </w:r>
      <w:r w:rsidRPr="007940E5">
        <w:rPr>
          <w:rFonts w:ascii="PT Astra Serif" w:hAnsi="PT Astra Serif"/>
        </w:rPr>
        <w:t>рассмотрение вопросов об организации мероприятий по защите населения в чрезвычайных ситуациях.</w:t>
      </w:r>
    </w:p>
    <w:p w:rsidR="00BC5826" w:rsidRPr="007940E5" w:rsidRDefault="00BC5826" w:rsidP="00BC5826">
      <w:pPr>
        <w:pStyle w:val="ad"/>
        <w:ind w:firstLine="709"/>
        <w:jc w:val="both"/>
      </w:pPr>
      <w:r w:rsidRPr="007940E5">
        <w:rPr>
          <w:rFonts w:ascii="PT Astra Serif" w:hAnsi="PT Astra Serif"/>
          <w:color w:val="000000"/>
        </w:rPr>
        <w:t>Решением Администрации</w:t>
      </w:r>
      <w:r w:rsidRPr="007940E5">
        <w:rPr>
          <w:rFonts w:ascii="PT Astra Serif" w:hAnsi="PT Astra Serif"/>
        </w:rPr>
        <w:t xml:space="preserve"> на Комиссию могут возлагаться иные задачи в соответствии с н</w:t>
      </w:r>
      <w:r w:rsidRPr="007940E5">
        <w:rPr>
          <w:rFonts w:ascii="PT Astra Serif" w:hAnsi="PT Astra Serif"/>
          <w:color w:val="000000"/>
        </w:rPr>
        <w:t>ормативно-правовыми актами муниципального образования.</w:t>
      </w:r>
    </w:p>
    <w:p w:rsidR="00BC5826" w:rsidRDefault="00BC5826" w:rsidP="00BC5826">
      <w:pPr>
        <w:pStyle w:val="ad"/>
        <w:ind w:firstLine="709"/>
        <w:jc w:val="both"/>
        <w:rPr>
          <w:b/>
          <w:bCs/>
        </w:rPr>
      </w:pPr>
      <w:r>
        <w:t xml:space="preserve">                                    </w:t>
      </w:r>
    </w:p>
    <w:p w:rsidR="00BC5826" w:rsidRPr="00030B60" w:rsidRDefault="00BC5826" w:rsidP="00BC5826">
      <w:pPr>
        <w:pStyle w:val="ad"/>
        <w:ind w:firstLine="709"/>
        <w:jc w:val="center"/>
        <w:rPr>
          <w:b/>
          <w:bCs/>
        </w:rPr>
      </w:pPr>
      <w:r w:rsidRPr="00030B60">
        <w:rPr>
          <w:b/>
          <w:bCs/>
        </w:rPr>
        <w:lastRenderedPageBreak/>
        <w:t>3. Функции Комиссии</w:t>
      </w:r>
    </w:p>
    <w:p w:rsidR="00BC5826" w:rsidRDefault="00BC5826" w:rsidP="00BC5826">
      <w:pPr>
        <w:pStyle w:val="ad"/>
        <w:ind w:firstLine="709"/>
        <w:jc w:val="both"/>
      </w:pPr>
    </w:p>
    <w:p w:rsidR="00BC5826" w:rsidRDefault="00BC5826" w:rsidP="00BC5826">
      <w:pPr>
        <w:pStyle w:val="ad"/>
        <w:ind w:firstLine="709"/>
        <w:jc w:val="both"/>
      </w:pPr>
      <w:r>
        <w:t>3.1. Комиссия с целью выполнения возложенных на нее задач осуществляет следующие функции:</w:t>
      </w:r>
    </w:p>
    <w:p w:rsidR="00BC5826" w:rsidRDefault="00BC5826" w:rsidP="00BC5826">
      <w:pPr>
        <w:pStyle w:val="ad"/>
        <w:ind w:firstLine="709"/>
        <w:jc w:val="both"/>
      </w:pPr>
      <w:r>
        <w:t xml:space="preserve">-  рассматривает прогнозы возникновения чрезвычайных ситуаций и пожаров на территории Сусуманского </w:t>
      </w:r>
      <w:r>
        <w:rPr>
          <w:color w:val="000000"/>
        </w:rPr>
        <w:t>муниципального</w:t>
      </w:r>
      <w:r>
        <w:t xml:space="preserve"> округа Магаданской области; </w:t>
      </w:r>
    </w:p>
    <w:p w:rsidR="00BC5826" w:rsidRDefault="00BC5826" w:rsidP="00BC5826">
      <w:pPr>
        <w:pStyle w:val="ad"/>
        <w:ind w:firstLine="709"/>
        <w:jc w:val="both"/>
      </w:pPr>
      <w:r>
        <w:t xml:space="preserve">-  организует разработку и реализацию мер, направленных на предупреждение и ликвидацию чрезвычайных </w:t>
      </w:r>
      <w:proofErr w:type="gramStart"/>
      <w:r>
        <w:t>ситуаций</w:t>
      </w:r>
      <w:proofErr w:type="gramEnd"/>
      <w:r>
        <w:t xml:space="preserve"> и обеспечение пожарной безопасности на территории муниципального образования;</w:t>
      </w:r>
    </w:p>
    <w:p w:rsidR="00BC5826" w:rsidRDefault="00BC5826" w:rsidP="00BC5826">
      <w:pPr>
        <w:pStyle w:val="ad"/>
        <w:ind w:firstLine="709"/>
        <w:jc w:val="both"/>
      </w:pPr>
      <w:r>
        <w:t>- координирует деятельность органов управления и сил Сусуманского муниципального звена ТП РСЧС при решении задач в области предупреждения и ликвидации чрезвычайных ситуаций;</w:t>
      </w:r>
    </w:p>
    <w:p w:rsidR="00BC5826" w:rsidRDefault="00BC5826" w:rsidP="00BC5826">
      <w:pPr>
        <w:pStyle w:val="ad"/>
        <w:ind w:firstLine="709"/>
        <w:jc w:val="both"/>
      </w:pPr>
      <w:r>
        <w:t xml:space="preserve">- 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вносит в установленном порядке </w:t>
      </w:r>
      <w:r>
        <w:rPr>
          <w:color w:val="000000"/>
        </w:rPr>
        <w:t>Администрации</w:t>
      </w:r>
      <w:r>
        <w:t xml:space="preserve"> предложения</w:t>
      </w:r>
      <w:r w:rsidRPr="00030B60">
        <w:t xml:space="preserve"> </w:t>
      </w:r>
      <w:r>
        <w:t>о совершенствовании работы по данному направлению деятельности;</w:t>
      </w:r>
    </w:p>
    <w:p w:rsidR="00BC5826" w:rsidRDefault="00BC5826" w:rsidP="00BC5826">
      <w:pPr>
        <w:pStyle w:val="ad"/>
        <w:ind w:firstLine="709"/>
        <w:jc w:val="both"/>
      </w:pPr>
      <w:r>
        <w:t>- рассматривает каждый случай гибели людей в чрезвычайных ситуациях (происшествиях) для установления причин и условий, способствовавших возникновению таких ситуаций, и внесения предложений по их устранению;</w:t>
      </w:r>
    </w:p>
    <w:p w:rsidR="00BC5826" w:rsidRDefault="00BC5826" w:rsidP="00BC5826">
      <w:pPr>
        <w:pStyle w:val="ad"/>
        <w:ind w:firstLine="709"/>
        <w:jc w:val="both"/>
      </w:pPr>
      <w:r>
        <w:t>- осуществляет иные функции в соответствии с возложенными на нее задачами, установленными законодательством Российской Федерации, законодательством Магаданской  области и нормативными правовыми актами муниципального образования.</w:t>
      </w:r>
    </w:p>
    <w:p w:rsidR="00BC5826" w:rsidRDefault="00BC5826" w:rsidP="00BC5826">
      <w:pPr>
        <w:pStyle w:val="ad"/>
        <w:ind w:firstLine="709"/>
        <w:jc w:val="both"/>
      </w:pPr>
    </w:p>
    <w:p w:rsidR="00BC5826" w:rsidRPr="00030B60" w:rsidRDefault="00BC5826" w:rsidP="00BC5826">
      <w:pPr>
        <w:pStyle w:val="ad"/>
        <w:jc w:val="center"/>
      </w:pPr>
      <w:r w:rsidRPr="00030B60">
        <w:rPr>
          <w:b/>
          <w:bCs/>
        </w:rPr>
        <w:t>4. Права Комиссии</w:t>
      </w:r>
    </w:p>
    <w:p w:rsidR="00BC5826" w:rsidRDefault="00BC5826" w:rsidP="00BC5826">
      <w:pPr>
        <w:pStyle w:val="ad"/>
        <w:ind w:left="1069"/>
        <w:rPr>
          <w:b/>
        </w:rPr>
      </w:pPr>
    </w:p>
    <w:p w:rsidR="00BC5826" w:rsidRDefault="00BC5826" w:rsidP="00BC5826">
      <w:pPr>
        <w:pStyle w:val="ad"/>
        <w:ind w:firstLine="709"/>
        <w:jc w:val="both"/>
      </w:pPr>
      <w:r>
        <w:t>4.1. Комиссия в пределах своей компетенции имеет право:</w:t>
      </w:r>
    </w:p>
    <w:p w:rsidR="00BC5826" w:rsidRDefault="00BC5826" w:rsidP="00BC5826">
      <w:pPr>
        <w:pStyle w:val="ad"/>
        <w:ind w:firstLine="709"/>
        <w:jc w:val="both"/>
      </w:pPr>
      <w:r>
        <w:t xml:space="preserve">-  запрашивать в установленном порядке и получать у </w:t>
      </w:r>
      <w:r>
        <w:rPr>
          <w:color w:val="000000"/>
        </w:rPr>
        <w:t>предприятий, организаций, учреждений независимо от их ведомственной принадлежности и организационно-правовой формы,</w:t>
      </w:r>
      <w:r>
        <w:t xml:space="preserve"> необходимые материалы и сведения;</w:t>
      </w:r>
    </w:p>
    <w:p w:rsidR="00BC5826" w:rsidRDefault="00BC5826" w:rsidP="00BC5826">
      <w:pPr>
        <w:pStyle w:val="ad"/>
        <w:ind w:firstLine="709"/>
        <w:jc w:val="both"/>
      </w:pPr>
      <w:r>
        <w:t xml:space="preserve">-  привлекать для участия в своей работе и заслушивать на своих заседаниях </w:t>
      </w:r>
      <w:r>
        <w:rPr>
          <w:color w:val="000000"/>
        </w:rPr>
        <w:t xml:space="preserve">представителей предприятий, учреждений и </w:t>
      </w:r>
      <w:r>
        <w:t xml:space="preserve">организаций </w:t>
      </w:r>
      <w:r>
        <w:rPr>
          <w:color w:val="000000"/>
        </w:rPr>
        <w:t>независимо от их ведомственной принадлежности и организационно-правовой формы</w:t>
      </w:r>
      <w:r>
        <w:t>;</w:t>
      </w:r>
    </w:p>
    <w:p w:rsidR="00BC5826" w:rsidRDefault="00BC5826" w:rsidP="00BC5826">
      <w:pPr>
        <w:pStyle w:val="ad"/>
        <w:ind w:firstLine="709"/>
        <w:jc w:val="both"/>
      </w:pPr>
      <w:r>
        <w:t xml:space="preserve">- создавать рабочие группы из числа специалистов </w:t>
      </w:r>
      <w:r>
        <w:rPr>
          <w:color w:val="000000"/>
        </w:rPr>
        <w:t xml:space="preserve">органа местного самоуправления и представителей заинтересованных предприятий, учреждений и организаций для решения вопросов, относящихся к компетенции </w:t>
      </w:r>
      <w:r>
        <w:t>Комиссии</w:t>
      </w:r>
      <w:r>
        <w:rPr>
          <w:color w:val="000000"/>
        </w:rPr>
        <w:t>,</w:t>
      </w:r>
      <w:r>
        <w:t xml:space="preserve"> определять полномочия и порядок работы этих групп.</w:t>
      </w:r>
    </w:p>
    <w:p w:rsidR="00BC5826" w:rsidRDefault="00BC5826" w:rsidP="00BC5826">
      <w:pPr>
        <w:pStyle w:val="ad"/>
        <w:ind w:firstLine="709"/>
        <w:jc w:val="both"/>
        <w:rPr>
          <w:rFonts w:eastAsia="Calibri"/>
        </w:rPr>
      </w:pPr>
    </w:p>
    <w:p w:rsidR="00BC5826" w:rsidRPr="00030B60" w:rsidRDefault="00BC5826" w:rsidP="00BC5826">
      <w:pPr>
        <w:pStyle w:val="ad"/>
        <w:ind w:left="1069"/>
        <w:jc w:val="center"/>
      </w:pPr>
      <w:r w:rsidRPr="00030B60">
        <w:rPr>
          <w:b/>
        </w:rPr>
        <w:t>5. Организация деятельности Комиссии</w:t>
      </w:r>
    </w:p>
    <w:p w:rsidR="00BC5826" w:rsidRDefault="00BC5826" w:rsidP="00BC5826">
      <w:pPr>
        <w:pStyle w:val="ad"/>
        <w:ind w:left="1069"/>
        <w:rPr>
          <w:b/>
        </w:rPr>
      </w:pPr>
    </w:p>
    <w:p w:rsidR="00BC5826" w:rsidRDefault="00BC5826" w:rsidP="00BC5826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</w:rPr>
        <w:t xml:space="preserve">5.1.  </w:t>
      </w:r>
      <w:r>
        <w:rPr>
          <w:rFonts w:eastAsia="Calibri"/>
          <w:sz w:val="24"/>
        </w:rPr>
        <w:tab/>
        <w:t>П</w:t>
      </w:r>
      <w:r>
        <w:rPr>
          <w:rFonts w:eastAsia="Calibri"/>
          <w:sz w:val="24"/>
          <w:szCs w:val="24"/>
        </w:rPr>
        <w:t>редседателем Комиссии</w:t>
      </w:r>
      <w:r w:rsidRPr="00030B60">
        <w:rPr>
          <w:rStyle w:val="af2"/>
          <w:rFonts w:eastAsia="Calibri"/>
          <w:bCs/>
          <w:sz w:val="24"/>
          <w:szCs w:val="24"/>
        </w:rPr>
        <w:footnoteReference w:id="4"/>
      </w:r>
      <w:r>
        <w:rPr>
          <w:rFonts w:eastAsia="Calibri"/>
          <w:sz w:val="24"/>
          <w:szCs w:val="24"/>
          <w:lang w:eastAsia="en-US"/>
        </w:rPr>
        <w:t xml:space="preserve"> является </w:t>
      </w:r>
      <w:r>
        <w:rPr>
          <w:rFonts w:eastAsia="Calibri"/>
          <w:sz w:val="24"/>
          <w:szCs w:val="24"/>
        </w:rPr>
        <w:t xml:space="preserve">глава Сусуманского </w:t>
      </w:r>
      <w:r>
        <w:rPr>
          <w:color w:val="000000"/>
          <w:sz w:val="24"/>
          <w:szCs w:val="24"/>
        </w:rPr>
        <w:t>муниципального</w:t>
      </w:r>
      <w:r>
        <w:rPr>
          <w:rFonts w:eastAsia="Calibri"/>
          <w:sz w:val="24"/>
          <w:szCs w:val="24"/>
        </w:rPr>
        <w:t xml:space="preserve"> округа Магаданской области</w:t>
      </w:r>
      <w:r w:rsidRPr="00972FF8">
        <w:rPr>
          <w:rStyle w:val="af2"/>
          <w:rFonts w:eastAsia="Calibri"/>
          <w:bCs/>
          <w:sz w:val="24"/>
          <w:szCs w:val="24"/>
        </w:rPr>
        <w:footnoteReference w:id="5"/>
      </w:r>
      <w:r>
        <w:rPr>
          <w:rFonts w:eastAsia="Calibri"/>
          <w:sz w:val="24"/>
          <w:szCs w:val="24"/>
        </w:rPr>
        <w:t xml:space="preserve">, который </w:t>
      </w:r>
      <w:r>
        <w:rPr>
          <w:color w:val="000000"/>
          <w:sz w:val="24"/>
          <w:szCs w:val="24"/>
        </w:rPr>
        <w:t>руководит деятельностью Комиссии и несет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ветственность за выполнение возложенных на нее задач</w:t>
      </w:r>
      <w:r>
        <w:rPr>
          <w:rFonts w:eastAsia="Calibri"/>
          <w:sz w:val="24"/>
          <w:szCs w:val="24"/>
        </w:rPr>
        <w:t>.</w:t>
      </w:r>
    </w:p>
    <w:p w:rsidR="00BC5826" w:rsidRDefault="00BC5826" w:rsidP="00BC5826">
      <w:pPr>
        <w:pStyle w:val="ad"/>
        <w:ind w:firstLine="567"/>
        <w:jc w:val="both"/>
      </w:pPr>
      <w:r>
        <w:t>5.2.</w:t>
      </w:r>
      <w:r>
        <w:tab/>
        <w:t>Комиссия осуществляет свою деятельность в соответствии с планом, принимаемым и утверждаемым Комиссией на последнем плановом заседании текущего года</w:t>
      </w:r>
      <w:r w:rsidRPr="00972FF8">
        <w:t xml:space="preserve"> </w:t>
      </w:r>
      <w:r>
        <w:t>на следующий календарный год.</w:t>
      </w:r>
      <w:r>
        <w:rPr>
          <w:b/>
        </w:rPr>
        <w:t xml:space="preserve"> </w:t>
      </w:r>
    </w:p>
    <w:p w:rsidR="00BC5826" w:rsidRDefault="00BC5826" w:rsidP="00BC5826">
      <w:pPr>
        <w:pStyle w:val="ad"/>
        <w:ind w:firstLine="567"/>
        <w:jc w:val="both"/>
      </w:pPr>
      <w:r>
        <w:t>5.3.</w:t>
      </w:r>
      <w:r>
        <w:tab/>
        <w:t>Заседания Комиссии проводятся по мере необходимости, но не реже одного раза в квартал. План заседания, список приглашенных лиц и дату заседания утверждает Председатель. Секретарь Комиссии уведомляет членов Комиссии о дате проведения заседания и рассылает план заседания не позднее, чем за семь календарных дней до даты его проведения.</w:t>
      </w:r>
    </w:p>
    <w:p w:rsidR="00BC5826" w:rsidRDefault="00BC5826" w:rsidP="00BC5826">
      <w:pPr>
        <w:pStyle w:val="ad"/>
        <w:ind w:firstLine="567"/>
        <w:jc w:val="both"/>
      </w:pPr>
      <w:r>
        <w:t>5.4.</w:t>
      </w:r>
      <w:r>
        <w:tab/>
        <w:t>Заседания Комиссии проводит Председатель, либо, по его поручению, заместитель председателя (лицо, исполняющее обязанности Главы).</w:t>
      </w:r>
    </w:p>
    <w:p w:rsidR="00BC5826" w:rsidRDefault="00BC5826" w:rsidP="00BC5826">
      <w:pPr>
        <w:pStyle w:val="ad"/>
        <w:ind w:firstLine="567"/>
        <w:jc w:val="both"/>
      </w:pPr>
      <w:r>
        <w:t>5.5.</w:t>
      </w:r>
      <w:r>
        <w:tab/>
        <w:t xml:space="preserve">Заседание Комиссии является правомочным, если на нем присутствуют </w:t>
      </w:r>
      <w:r>
        <w:rPr>
          <w:color w:val="000000"/>
        </w:rPr>
        <w:t>не менее</w:t>
      </w:r>
      <w:r>
        <w:t xml:space="preserve"> половины ее членов.</w:t>
      </w:r>
    </w:p>
    <w:p w:rsidR="00BC5826" w:rsidRDefault="00BC5826" w:rsidP="00BC5826">
      <w:pPr>
        <w:pStyle w:val="ad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5.6.</w:t>
      </w:r>
      <w:r>
        <w:rPr>
          <w:color w:val="000000"/>
        </w:rPr>
        <w:tab/>
        <w:t>Присутствие членов Комиссии на заседаниях является обязательным. В случае невозможности присутствия члена Комиссии лицо, исполняющее его обязанности по основному месту работы, после согласования с Председателем принимает участие в заседании</w:t>
      </w:r>
      <w:r>
        <w:t xml:space="preserve"> с правом совещательного голоса</w:t>
      </w:r>
      <w:r>
        <w:rPr>
          <w:color w:val="000000"/>
        </w:rPr>
        <w:t>.</w:t>
      </w:r>
    </w:p>
    <w:p w:rsidR="00BC5826" w:rsidRDefault="00BC5826" w:rsidP="00BC5826">
      <w:pPr>
        <w:pStyle w:val="ad"/>
        <w:ind w:firstLine="567"/>
        <w:jc w:val="both"/>
        <w:rPr>
          <w:color w:val="000000"/>
        </w:rPr>
      </w:pPr>
      <w:r>
        <w:rPr>
          <w:color w:val="000000"/>
        </w:rPr>
        <w:t>5.7.</w:t>
      </w:r>
      <w:r>
        <w:rPr>
          <w:color w:val="000000"/>
        </w:rPr>
        <w:tab/>
        <w:t>Члены Комиссии вправе вносить предложения в повестку заседания Комиссии. Предложения вносятся в письменной форме секретарю Комиссии не позднее, чем за пять рабочих дней до заседания.</w:t>
      </w:r>
    </w:p>
    <w:p w:rsidR="00BC5826" w:rsidRDefault="00BC5826" w:rsidP="00BC5826">
      <w:pPr>
        <w:pStyle w:val="ad"/>
        <w:tabs>
          <w:tab w:val="left" w:pos="1276"/>
        </w:tabs>
        <w:ind w:firstLine="567"/>
        <w:jc w:val="both"/>
        <w:rPr>
          <w:color w:val="000000"/>
        </w:rPr>
      </w:pPr>
      <w:r>
        <w:rPr>
          <w:color w:val="000000"/>
        </w:rPr>
        <w:t>5.8.</w:t>
      </w:r>
      <w:r>
        <w:rPr>
          <w:color w:val="000000"/>
        </w:rPr>
        <w:tab/>
        <w:t>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голосов, решающим является голос Председателя.</w:t>
      </w:r>
    </w:p>
    <w:p w:rsidR="00BC5826" w:rsidRDefault="00BC5826" w:rsidP="00BC5826">
      <w:pPr>
        <w:pStyle w:val="ad"/>
        <w:tabs>
          <w:tab w:val="left" w:pos="1276"/>
        </w:tabs>
        <w:ind w:firstLine="567"/>
        <w:jc w:val="both"/>
      </w:pPr>
      <w:r>
        <w:rPr>
          <w:color w:val="000000"/>
        </w:rPr>
        <w:t>5.9.</w:t>
      </w:r>
      <w:r>
        <w:rPr>
          <w:color w:val="000000"/>
        </w:rPr>
        <w:tab/>
        <w:t>Решения Комиссии оформляются протоколом, который подписывается Председателем и секретарем Комиссии.</w:t>
      </w:r>
    </w:p>
    <w:p w:rsidR="00BC5826" w:rsidRDefault="00BC5826" w:rsidP="00BC5826">
      <w:pPr>
        <w:pStyle w:val="ad"/>
        <w:ind w:firstLine="567"/>
        <w:jc w:val="both"/>
        <w:rPr>
          <w:rFonts w:ascii="Liberation Serif" w:hAnsi="Liberation Serif"/>
          <w:color w:val="000000"/>
        </w:rPr>
      </w:pPr>
      <w:r>
        <w:t>5.10.</w:t>
      </w:r>
      <w:r>
        <w:tab/>
        <w:t>Решения, принимаемые Комиссией в соответствии с ее компетенцией, являются обязательными для исполнения органами местного самоуправления, муниципальными предприятиями, учреждениями и организациями, а также</w:t>
      </w:r>
      <w:r>
        <w:rPr>
          <w:color w:val="000000"/>
        </w:rPr>
        <w:t xml:space="preserve"> предприятиями,</w:t>
      </w:r>
      <w:r>
        <w:rPr>
          <w:rFonts w:ascii="Liberation Serif" w:hAnsi="Liberation Serif"/>
          <w:color w:val="000000"/>
        </w:rPr>
        <w:t xml:space="preserve"> учреждениями и организациями, входящими в состав сил  Сусуманского муниципального звена ТП РСЧС.</w:t>
      </w:r>
    </w:p>
    <w:p w:rsidR="00BC5826" w:rsidRDefault="00BC5826" w:rsidP="00BC5826">
      <w:pPr>
        <w:pStyle w:val="ad"/>
        <w:ind w:firstLine="567"/>
        <w:jc w:val="both"/>
      </w:pPr>
      <w:r>
        <w:t>5.11.</w:t>
      </w:r>
      <w:r>
        <w:tab/>
        <w:t>Организационно-техническое обеспечение деятельности Комиссии осуществляет отдел по делам ГО и ЧС Администрации.</w:t>
      </w:r>
    </w:p>
    <w:p w:rsidR="00BC5826" w:rsidRDefault="00BC5826" w:rsidP="00BC5826">
      <w:pPr>
        <w:pStyle w:val="ad"/>
        <w:ind w:left="1069"/>
        <w:rPr>
          <w:b/>
        </w:rPr>
      </w:pPr>
    </w:p>
    <w:p w:rsidR="00BC5826" w:rsidRPr="00D73BBC" w:rsidRDefault="00BC5826" w:rsidP="00BC5826">
      <w:pPr>
        <w:pStyle w:val="ad"/>
        <w:jc w:val="center"/>
        <w:rPr>
          <w:b/>
        </w:rPr>
      </w:pPr>
      <w:r w:rsidRPr="00D73BBC">
        <w:rPr>
          <w:b/>
        </w:rPr>
        <w:t>6. Состав Комиссии</w:t>
      </w:r>
    </w:p>
    <w:p w:rsidR="00BC5826" w:rsidRDefault="00BC5826" w:rsidP="00BC5826">
      <w:pPr>
        <w:pStyle w:val="ad"/>
        <w:ind w:left="709"/>
        <w:jc w:val="both"/>
        <w:rPr>
          <w:rFonts w:eastAsia="Calibri"/>
        </w:rPr>
      </w:pPr>
    </w:p>
    <w:p w:rsidR="00BC5826" w:rsidRDefault="00BC5826" w:rsidP="00BC5826">
      <w:pPr>
        <w:pStyle w:val="ad"/>
        <w:ind w:firstLine="709"/>
        <w:jc w:val="both"/>
      </w:pPr>
      <w:r>
        <w:t>6.1.</w:t>
      </w:r>
      <w:r>
        <w:tab/>
        <w:t>Членами Комиссии являются следующие должностные лица:</w:t>
      </w:r>
    </w:p>
    <w:p w:rsidR="00BC5826" w:rsidRDefault="00BC5826" w:rsidP="00BC58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Глава Сусуманского муниципального округа Магаданской области – Председатель Комиссии;</w:t>
      </w:r>
    </w:p>
    <w:p w:rsidR="00BC5826" w:rsidRDefault="00BC5826" w:rsidP="00BC58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Первый заместитель главы Администрации Сусуманского муниципального округа Магаданской области - заместитель Председателя Комиссии;</w:t>
      </w:r>
    </w:p>
    <w:p w:rsidR="00BC5826" w:rsidRDefault="00BC5826" w:rsidP="00BC58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Начальник ЕДДС-112 Администрации Сусуманского муниципального округа Магаданской области - секретарь Комиссии;</w:t>
      </w:r>
    </w:p>
    <w:p w:rsidR="00BC5826" w:rsidRDefault="00BC5826" w:rsidP="00BC5826">
      <w:pPr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Заместитель главы Администрации Сусуманского </w:t>
      </w:r>
      <w:r>
        <w:rPr>
          <w:rFonts w:eastAsia="Calibri"/>
          <w:color w:val="000000"/>
          <w:sz w:val="24"/>
          <w:szCs w:val="24"/>
        </w:rPr>
        <w:t>муниципального</w:t>
      </w:r>
      <w:r>
        <w:rPr>
          <w:color w:val="000000"/>
          <w:sz w:val="24"/>
          <w:szCs w:val="24"/>
        </w:rPr>
        <w:t xml:space="preserve"> округа Магаданской области по социальным вопросам, 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Начальник отдела по делам ГО и ЧС Администрации Сусуманского муниципального округа Магаданской области;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Главные специалисты отдела по делам ГО и ЧС Администрации Сусуманского муниципального округа Магаданской области;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Руководитель УГХ и ЖТ Администрации Сусуманского муниципального округа Магаданской области;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Заместитель руководителя управления по организационной работе и внутренней политики Администрации Сусуманского муниципального округа Магаданской области;    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Начальник </w:t>
      </w:r>
      <w:proofErr w:type="spellStart"/>
      <w:proofErr w:type="gramStart"/>
      <w:r>
        <w:rPr>
          <w:color w:val="000000"/>
          <w:sz w:val="24"/>
          <w:szCs w:val="24"/>
        </w:rPr>
        <w:t>Отд</w:t>
      </w:r>
      <w:proofErr w:type="spellEnd"/>
      <w:proofErr w:type="gramEnd"/>
      <w:r>
        <w:rPr>
          <w:color w:val="000000"/>
          <w:sz w:val="24"/>
          <w:szCs w:val="24"/>
        </w:rPr>
        <w:t xml:space="preserve"> МВД России по Сусуманскому району (по согласованию);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Начальник отделения в г. Сусумане УФСБ России по Магаданской области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 согласованию);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Начальник ОНД и </w:t>
      </w:r>
      <w:proofErr w:type="gramStart"/>
      <w:r>
        <w:rPr>
          <w:color w:val="000000"/>
          <w:sz w:val="24"/>
          <w:szCs w:val="24"/>
        </w:rPr>
        <w:t>ПР</w:t>
      </w:r>
      <w:proofErr w:type="gramEnd"/>
      <w:r>
        <w:rPr>
          <w:color w:val="000000"/>
          <w:sz w:val="24"/>
          <w:szCs w:val="24"/>
        </w:rPr>
        <w:t xml:space="preserve"> по Сусуманскому району УНД ГУ МЧС России по Магаданской области (по согласованию);</w:t>
      </w:r>
      <w:r>
        <w:rPr>
          <w:color w:val="000000"/>
          <w:sz w:val="24"/>
          <w:szCs w:val="24"/>
        </w:rPr>
        <w:tab/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Начальник ПСЧ-4 ПСО ФПС ГПС ГУ МЧС России  по Магаданской области (по согласованию);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Прокурор Сусуманского района  (по согласованию);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Начальник ТО ТУ Роспотребнадзора по Сусуманскому району (по согласованию);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Директор ООО «Сусуманская дорожная компания»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согласованию);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Директор филиала ЦЭС ПАО «Магаданэнерго» (по согласованию);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Директор филиала АрГРЭС  ПАО «Магаданэнерго» (по согласованию);</w:t>
      </w:r>
    </w:p>
    <w:p w:rsidR="00BC5826" w:rsidRDefault="00BC5826" w:rsidP="00BC58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Главный инженер АО «ГДК «</w:t>
      </w:r>
      <w:proofErr w:type="spellStart"/>
      <w:r>
        <w:rPr>
          <w:color w:val="000000"/>
          <w:sz w:val="24"/>
          <w:szCs w:val="24"/>
        </w:rPr>
        <w:t>Берелех</w:t>
      </w:r>
      <w:proofErr w:type="spellEnd"/>
      <w:r>
        <w:rPr>
          <w:color w:val="000000"/>
          <w:sz w:val="24"/>
          <w:szCs w:val="24"/>
        </w:rPr>
        <w:t>» (по согласованию);</w:t>
      </w:r>
    </w:p>
    <w:p w:rsidR="00BC5826" w:rsidRDefault="00BC5826" w:rsidP="00BC582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bookmarkStart w:id="0" w:name="_GoBack"/>
      <w:bookmarkEnd w:id="0"/>
      <w:r>
        <w:rPr>
          <w:color w:val="000000"/>
          <w:sz w:val="24"/>
          <w:szCs w:val="24"/>
        </w:rPr>
        <w:t>Заместитель директора АО «</w:t>
      </w:r>
      <w:proofErr w:type="spellStart"/>
      <w:r>
        <w:rPr>
          <w:color w:val="000000"/>
          <w:sz w:val="24"/>
          <w:szCs w:val="24"/>
        </w:rPr>
        <w:t>Сусуманзолото</w:t>
      </w:r>
      <w:proofErr w:type="spellEnd"/>
      <w:r>
        <w:rPr>
          <w:color w:val="000000"/>
          <w:sz w:val="24"/>
          <w:szCs w:val="24"/>
        </w:rPr>
        <w:t>»  (по согласованию).</w:t>
      </w:r>
    </w:p>
    <w:p w:rsidR="00BC5826" w:rsidRDefault="00BC5826" w:rsidP="00BC5826">
      <w:pPr>
        <w:pStyle w:val="ad"/>
        <w:ind w:firstLine="709"/>
        <w:jc w:val="both"/>
        <w:rPr>
          <w:color w:val="000000"/>
        </w:rPr>
      </w:pPr>
      <w:r>
        <w:rPr>
          <w:color w:val="000000"/>
        </w:rPr>
        <w:t>6.2.</w:t>
      </w:r>
      <w:r>
        <w:rPr>
          <w:color w:val="000000"/>
        </w:rPr>
        <w:tab/>
        <w:t>Персональный состав Комиссии, функциональные обязанности ее членов утверждаются распоряжением Администрации.</w:t>
      </w:r>
    </w:p>
    <w:p w:rsidR="00BC5826" w:rsidRDefault="00BC5826">
      <w:pPr>
        <w:widowControl w:val="0"/>
        <w:tabs>
          <w:tab w:val="left" w:pos="6521"/>
          <w:tab w:val="left" w:pos="6804"/>
        </w:tabs>
        <w:ind w:right="-1" w:firstLine="748"/>
        <w:jc w:val="right"/>
        <w:rPr>
          <w:b/>
          <w:bCs/>
          <w:sz w:val="20"/>
        </w:rPr>
      </w:pPr>
    </w:p>
    <w:sectPr w:rsidR="00BC5826">
      <w:pgSz w:w="11906" w:h="16838"/>
      <w:pgMar w:top="709" w:right="850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86" w:rsidRDefault="00351A86" w:rsidP="00BC5826">
      <w:r>
        <w:separator/>
      </w:r>
    </w:p>
  </w:endnote>
  <w:endnote w:type="continuationSeparator" w:id="0">
    <w:p w:rsidR="00351A86" w:rsidRDefault="00351A86" w:rsidP="00BC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86" w:rsidRDefault="00351A86" w:rsidP="00BC5826">
      <w:r>
        <w:separator/>
      </w:r>
    </w:p>
  </w:footnote>
  <w:footnote w:type="continuationSeparator" w:id="0">
    <w:p w:rsidR="00351A86" w:rsidRDefault="00351A86" w:rsidP="00BC5826">
      <w:r>
        <w:continuationSeparator/>
      </w:r>
    </w:p>
  </w:footnote>
  <w:footnote w:id="1">
    <w:p w:rsidR="00351A86" w:rsidRDefault="00351A86" w:rsidP="00BC5826">
      <w:pPr>
        <w:pStyle w:val="af3"/>
      </w:pPr>
      <w:r>
        <w:rPr>
          <w:rStyle w:val="af1"/>
        </w:rPr>
        <w:footnoteRef/>
      </w:r>
      <w:r>
        <w:tab/>
        <w:t>Далее - Комиссия;</w:t>
      </w:r>
    </w:p>
  </w:footnote>
  <w:footnote w:id="2">
    <w:p w:rsidR="00351A86" w:rsidRDefault="00351A86" w:rsidP="00BC5826">
      <w:pPr>
        <w:pStyle w:val="af3"/>
      </w:pPr>
      <w:r>
        <w:rPr>
          <w:rStyle w:val="af1"/>
        </w:rPr>
        <w:footnoteRef/>
      </w:r>
      <w:r>
        <w:tab/>
        <w:t>далее - ТП РСЧС;</w:t>
      </w:r>
    </w:p>
  </w:footnote>
  <w:footnote w:id="3">
    <w:p w:rsidR="00351A86" w:rsidRDefault="00351A86" w:rsidP="00BC5826">
      <w:pPr>
        <w:pStyle w:val="af3"/>
      </w:pPr>
      <w:r>
        <w:rPr>
          <w:rStyle w:val="af1"/>
        </w:rPr>
        <w:footnoteRef/>
      </w:r>
      <w:r>
        <w:tab/>
        <w:t>далее -  Администрация.</w:t>
      </w:r>
    </w:p>
  </w:footnote>
  <w:footnote w:id="4">
    <w:p w:rsidR="00351A86" w:rsidRDefault="00351A86" w:rsidP="00BC5826">
      <w:pPr>
        <w:pStyle w:val="af3"/>
      </w:pPr>
      <w:r>
        <w:rPr>
          <w:rStyle w:val="af1"/>
        </w:rPr>
        <w:footnoteRef/>
      </w:r>
      <w:r>
        <w:tab/>
        <w:t>Далее -  Председатель;</w:t>
      </w:r>
    </w:p>
  </w:footnote>
  <w:footnote w:id="5">
    <w:p w:rsidR="00351A86" w:rsidRDefault="00351A86" w:rsidP="00BC5826">
      <w:pPr>
        <w:pStyle w:val="af3"/>
      </w:pPr>
      <w:r>
        <w:rPr>
          <w:rStyle w:val="af1"/>
        </w:rPr>
        <w:footnoteRef/>
      </w:r>
      <w:r>
        <w:tab/>
        <w:t>далее -  Глава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05BF"/>
    <w:multiLevelType w:val="multilevel"/>
    <w:tmpl w:val="244CC0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353F6B80"/>
    <w:multiLevelType w:val="multilevel"/>
    <w:tmpl w:val="C6820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09"/>
    <w:rsid w:val="00166309"/>
    <w:rsid w:val="00347A03"/>
    <w:rsid w:val="00351A86"/>
    <w:rsid w:val="0095073C"/>
    <w:rsid w:val="00BC5826"/>
    <w:rsid w:val="00D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qFormat/>
    <w:pPr>
      <w:spacing w:before="280" w:after="280"/>
    </w:pPr>
    <w:rPr>
      <w:rFonts w:ascii="Tahoma" w:hAnsi="Tahoma"/>
      <w:sz w:val="20"/>
      <w:lang w:val="en-US" w:eastAsia="en-US"/>
    </w:rPr>
  </w:style>
  <w:style w:type="paragraph" w:styleId="ad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8"/>
      <w:szCs w:val="20"/>
      <w:lang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D96BA9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character" w:customStyle="1" w:styleId="af1">
    <w:name w:val="Символ сноски"/>
    <w:qFormat/>
    <w:rsid w:val="00BC5826"/>
  </w:style>
  <w:style w:type="character" w:customStyle="1" w:styleId="af2">
    <w:name w:val="Привязка сноски"/>
    <w:rsid w:val="00BC5826"/>
    <w:rPr>
      <w:vertAlign w:val="superscript"/>
    </w:rPr>
  </w:style>
  <w:style w:type="paragraph" w:styleId="af3">
    <w:name w:val="footnote text"/>
    <w:basedOn w:val="a"/>
    <w:link w:val="af4"/>
    <w:rsid w:val="00BC5826"/>
    <w:pPr>
      <w:suppressLineNumbers/>
      <w:ind w:left="339" w:hanging="339"/>
    </w:pPr>
    <w:rPr>
      <w:sz w:val="20"/>
    </w:rPr>
  </w:style>
  <w:style w:type="character" w:customStyle="1" w:styleId="af4">
    <w:name w:val="Текст сноски Знак"/>
    <w:basedOn w:val="a0"/>
    <w:link w:val="af3"/>
    <w:rsid w:val="00BC5826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qFormat/>
    <w:pPr>
      <w:spacing w:before="280" w:after="280"/>
    </w:pPr>
    <w:rPr>
      <w:rFonts w:ascii="Tahoma" w:hAnsi="Tahoma"/>
      <w:sz w:val="20"/>
      <w:lang w:val="en-US" w:eastAsia="en-US"/>
    </w:rPr>
  </w:style>
  <w:style w:type="paragraph" w:styleId="ad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8"/>
      <w:szCs w:val="20"/>
      <w:lang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D96BA9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character" w:customStyle="1" w:styleId="af1">
    <w:name w:val="Символ сноски"/>
    <w:qFormat/>
    <w:rsid w:val="00BC5826"/>
  </w:style>
  <w:style w:type="character" w:customStyle="1" w:styleId="af2">
    <w:name w:val="Привязка сноски"/>
    <w:rsid w:val="00BC5826"/>
    <w:rPr>
      <w:vertAlign w:val="superscript"/>
    </w:rPr>
  </w:style>
  <w:style w:type="paragraph" w:styleId="af3">
    <w:name w:val="footnote text"/>
    <w:basedOn w:val="a"/>
    <w:link w:val="af4"/>
    <w:rsid w:val="00BC5826"/>
    <w:pPr>
      <w:suppressLineNumbers/>
      <w:ind w:left="339" w:hanging="339"/>
    </w:pPr>
    <w:rPr>
      <w:sz w:val="20"/>
    </w:rPr>
  </w:style>
  <w:style w:type="character" w:customStyle="1" w:styleId="af4">
    <w:name w:val="Текст сноски Знак"/>
    <w:basedOn w:val="a0"/>
    <w:link w:val="af3"/>
    <w:rsid w:val="00BC582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dc:description/>
  <cp:lastModifiedBy>Пользователь</cp:lastModifiedBy>
  <cp:revision>19</cp:revision>
  <cp:lastPrinted>2024-02-16T11:23:00Z</cp:lastPrinted>
  <dcterms:created xsi:type="dcterms:W3CDTF">2023-10-26T06:32:00Z</dcterms:created>
  <dcterms:modified xsi:type="dcterms:W3CDTF">2024-05-02T06:35:00Z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